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PARIKSHA MITRA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2874A6"/>
          <w:sz w:val="16"/>
          <w:szCs w:val="16"/>
        </w:rPr>
        <w:t xml:space="preserve">National Free Competitive Exam Coaching Platform</w:t>
      </w:r>
    </w:p>
    <w:p>
      <w:pPr>
        <w:spacing w:after="80"/>
      </w:pPr>
    </w:p>
    <w:p>
      <w:pPr>
        <w:pBdr>
          <w:bottom w:val="single" w:color="1B4F72" w:sz="14" w:space="1"/>
        </w:pBdr>
        <w:spacing w:after="80"/>
        <w:jc w:val="center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RISK REGISTER (LIVE)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4"/>
          <w:szCs w:val="14"/>
        </w:rPr>
        <w:t xml:space="preserve">Project, Technical, Operational, Security &amp; Compliance Risks</w:t>
      </w:r>
    </w:p>
    <w:p>
      <w:pPr>
        <w:spacing w:after="13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Baseline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Living Document — Review Bi-Weekly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PRD Risk Register + All Architecture Documents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"Identify early. Mitigate continuously. Never surprise the Ministry."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Risk Register is the living inventory of risks that could affect the successful delivery, operation, security, or reputation of Pariksha Mitra. It is reviewed regularly, owned by the Project/Program leadership, and used to drive mitigation actions and governance decisions.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Risk Scoring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Likelihood and Impact are scored 1 (Low) to 5 (Critical). Risk Score = Likelihood × Impact. Colour coding: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15–25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Critical — Immediate attention, executive visibility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8–14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High — Active mitigation required, tracked weekly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4–7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Medium — Monitored, mitigation planned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1–3</w:t>
            </w:r>
          </w:p>
        </w:tc>
        <w:tc>
          <w:tcPr>
            <w:tcW w:type="dxa" w:w="7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Low — Accepted or routinely managed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Status Definitions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Open — Risk is active; mitigation in progress or not started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Mitigating — Actions underway; residual risk still material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Monitoring — Mitigation in place; watching for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Closed — Risk no longer applicable or fully accepted with residual noted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Accepted — Conscious decision to accept residual risk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RISK REGISTER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2.1 Technical &amp; Architecture Risks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900"/>
        <w:gridCol w:w="900"/>
        <w:gridCol w:w="2800"/>
        <w:gridCol w:w="2200"/>
      </w:tblGrid>
      <w:tr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L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Owner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Server / platform overload at launch due to high demand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Pre-scale 2× expected load; rate-limit registrations in waves; load test before launch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Platform Lead
Open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Live class concurrent viewers exceed SFU capacity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HLS + YouTube overflow; rigorous load testing; capacity planning; auto-scale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Live Class Owner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AI model latency or accuracy issues at scale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Caching; quantisation; fallback responses; continuous evaluation set; model versioning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AI Lead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GPU capacity or cost constraints for AI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Model tiering; request batching; caching; NIC GPU quota planning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AI + Platform
Open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Vendor lock-in on live streaming provider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Abstract behind internal interface; prefer open WebRTC/HLS standards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Architecture
Monitoring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Operational complexity of many microservices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Start coarser; split only when needed; strong platform tooling &amp; observability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Architecture
Monitoring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T-07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Aadhaar / DigiLocker API downtime affecting registration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Mobile OTP is primary; Aadhaar optional; graceful fallback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Auth Owner
Monitoring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2.2 Content &amp; Quality Risks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900"/>
        <w:gridCol w:w="900"/>
        <w:gridCol w:w="2800"/>
        <w:gridCol w:w="2200"/>
      </w:tblGrid>
      <w:tr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L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Owner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C-01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Low-quality or incorrect content from teachers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Strict 5-step verification; expert review; student ratings; rapid unpublish path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Content Ops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C-02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Political pressure to include unqualified teachers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Ministry-appointed independent expert panel controls verification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Content + Ministry
Monitoring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C-03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Teacher exodus if honorarium not competitive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Clear honorarium structure; recognition &amp; branding for teachers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Content + Commercial
Open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C-04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Content piracy / unauthorised redistribution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DRM on downloads; watermarking; content is free so incentive is lower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Media + Security
Monitoring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2.3 Project &amp; Delivery Risks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900"/>
        <w:gridCol w:w="900"/>
        <w:gridCol w:w="2800"/>
        <w:gridCol w:w="2200"/>
      </w:tblGrid>
      <w:tr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L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Owner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P-01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Slow government approval cycles delaying launch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B7B1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Submit with working MVP; parallel state partnerships; clear escalation path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Program Lead
Open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P-02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Scope creep from additional exam or feature demands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Strict change control; phase-gate prioritisation; explicit non-goals in PRD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Product + Program
Monitoring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P-03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Key person dependency in architecture or AI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Documentation; pair ownership; knowledge sharing; ADRs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CTO / Architecture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P-04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Insufficient NIC capacity or quota delays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Early engagement with NIC; capacity forecasts; phased growth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Platform + NIC Liaison
Open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2.4 Security, Privacy &amp; Compliance Risks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900"/>
        <w:gridCol w:w="900"/>
        <w:gridCol w:w="2800"/>
        <w:gridCol w:w="2200"/>
      </w:tblGrid>
      <w:tr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L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Owner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S-01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Data breach or major privacy incident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Defence-in-depth; encryption; least privilege; VAPT; incident response; DPDP alignment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Security Lead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S-02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Non-compliance with DPDP Act 2023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Privacy by design; consent flows; parental consent; data localisation; DPIA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Privacy Lead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S-03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Credential stuffing / account takeover wave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Rate limiting; anomaly detection; optional step-up verification; session monitoring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Security + Auth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S-04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Insider threat (malicious or negligent admin)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Least privilege; audit logging; dual control for critical actions; background checks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Security + HR
Monitoring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2.5 Operational &amp; External Risks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900"/>
        <w:gridCol w:w="900"/>
        <w:gridCol w:w="2800"/>
        <w:gridCol w:w="2200"/>
      </w:tblGrid>
      <w:tr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L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I</w:t>
            </w:r>
          </w:p>
        </w:tc>
        <w:tc>
          <w:tcPr>
            <w:tcW w:type="dxa" w:w="9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Mitigation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Owner / Status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O-01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Competing platforms lobby against government free offering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Platform is free &amp; government-backed; private sector cannot block policy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Program + Ministry
Accepted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O-02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SMS gateway cost or delivery failure at scale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Dual provider; DLT compliance; rate controls; cost monitoring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Notification Owner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O-03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Low adoption in rural / low-connectivity areas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Offline mode; 144p video; SMS features; DD Free Dish (Phase 3); awareness campaigns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Product + Partnerships
Mitigating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O-04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Reputational damage from content controversy or outage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E79F" w:val="clear"/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2"/>
                <w:szCs w:val="12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Strong moderation; rapid response; clear communication protocols; DR readiness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Program + Comms
Monitoring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RISK SUMMARY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Count (Open/Mitigating)</w:t>
            </w:r>
          </w:p>
        </w:tc>
        <w:tc>
          <w:tcPr>
            <w:tcW w:type="dxa" w:w="4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2"/>
                <w:szCs w:val="12"/>
              </w:rPr>
              <w:t xml:space="preserve">Highest Score Items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Technical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T-01 (20), T-02 (15)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C-01, C-02, C-03 (12)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Project / Delivery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P-01 (16)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Security / Privacy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S-01 to S-04 (10–12)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Operational / External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25"/>
              <w:left w:type="dxa" w:w="40"/>
              <w:bottom w:type="dxa" w:w="25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2"/>
                <w:szCs w:val="12"/>
              </w:rPr>
              <w:t xml:space="preserve">O-02, O-03 (12)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RISK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Risk Register Owner: Program / Project Manager with Architecture &amp; Security input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Review cadence: Bi-weekly in project governance; monthly deeper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risks (score ≥ 15) escalated to Steering Committee / Ministry immediately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New risks can be raised by any team member via defined channel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Closed risks retained in archive for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This document is the baseline; the live version should be maintained in a collaborative tool (e.g., spreadsheet or risk module) with change history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IMMEDIATE PRIORITY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T-01: Complete pre-launch load test plan and capacity reservation with NIC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T-02: Finalise live class overflow architecture and test to 15 lakh concurrent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P-01: Map approval dependencies and create parallel-track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C-03: Finalise and communicate honorarium policy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S-01/S-02: Complete DPIA and VAPT scheduling for Phase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owners: Update status and residual risk at next bi-weekly review</w:t>
      </w:r>
    </w:p>
    <w:p>
      <w:pPr>
        <w:spacing w:after="1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Risk Register (Baseline)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 Mitra Risk Register v1.0  |  August 2026  |  Living Document  |  Confidential</w:t>
      </w:r>
    </w:p>
    <w:sectPr>
      <w:headerReference w:type="default" r:id="rId7"/>
      <w:footerReference w:type="default" r:id="rId8"/>
      <w:pgSz w:w="12240" w:h="15840" w:orient="portrait"/>
      <w:pgMar w:top="1008" w:right="720" w:bottom="1008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2"/>
        <w:szCs w:val="12"/>
      </w:rPr>
      <w:t xml:space="preserve">PARIKSHA MITRA  |  Risk Register (Live)</w:t>
    </w:r>
    <w:r>
      <w:rPr>
        <w:sz w:val="12"/>
        <w:szCs w:val="12"/>
      </w:rPr>
      <w:t xml:space="preserve">                                                                      </w:t>
    </w:r>
    <w:r>
      <w:rPr>
        <w:rFonts w:ascii="Calibri" w:cs="Calibri" w:eastAsia="Calibri" w:hAnsi="Calibri"/>
        <w:i/>
        <w:iCs/>
        <w:color w:val="C0392B"/>
        <w:sz w:val="12"/>
        <w:szCs w:val="12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2026-08-19T06:37:21.775Z</dcterms:created>
  <dcterms:modified xsi:type="dcterms:W3CDTF">2026-08-19T06:37:21.775Z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