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1B4F72"/>
          <w:sz w:val="38"/>
          <w:szCs w:val="38"/>
        </w:rPr>
        <w:t xml:space="preserve">PARIKSHA MITRA</w:t>
      </w:r>
    </w:p>
    <w:p>
      <w:pPr>
        <w:spacing w:after="40"/>
        <w:jc w:val="center"/>
      </w:pPr>
      <w:r>
        <w:rPr>
          <w:rFonts w:ascii="Calibri" w:cs="Calibri" w:eastAsia="Calibri" w:hAnsi="Calibri"/>
          <w:color w:val="2874A6"/>
          <w:sz w:val="17"/>
          <w:szCs w:val="17"/>
        </w:rPr>
        <w:t xml:space="preserve">National Free Competitive Exam Coaching Platform</w:t>
      </w:r>
    </w:p>
    <w:p>
      <w:pPr>
        <w:spacing w:after="90"/>
      </w:pPr>
    </w:p>
    <w:p>
      <w:pPr>
        <w:pBdr>
          <w:bottom w:val="single" w:color="1B4F72" w:sz="14" w:space="1"/>
        </w:pBdr>
        <w:spacing w:after="90"/>
        <w:jc w:val="center"/>
      </w:pPr>
      <w:r>
        <w:rPr>
          <w:rFonts w:ascii="Calibri" w:cs="Calibri" w:eastAsia="Calibri" w:hAnsi="Calibri"/>
          <w:b/>
          <w:bCs/>
          <w:color w:val="1B4F72"/>
          <w:sz w:val="24"/>
          <w:szCs w:val="24"/>
        </w:rPr>
        <w:t xml:space="preserve">SERVICE LEVEL AGREEMENT</w:t>
      </w:r>
    </w:p>
    <w:p>
      <w:pPr>
        <w:spacing w:after="20"/>
        <w:jc w:val="center"/>
      </w:pPr>
      <w:r>
        <w:rPr>
          <w:rFonts w:ascii="Calibri" w:cs="Calibri" w:eastAsia="Calibri" w:hAnsi="Calibri"/>
          <w:b/>
          <w:bCs/>
          <w:color w:val="1B4F72"/>
          <w:sz w:val="22"/>
          <w:szCs w:val="22"/>
        </w:rPr>
        <w:t xml:space="preserve">&amp; SUPPORT MODEL</w:t>
      </w:r>
    </w:p>
    <w:p>
      <w:pPr>
        <w:spacing w:after="30"/>
        <w:jc w:val="center"/>
      </w:pPr>
      <w:r>
        <w:rPr>
          <w:rFonts w:ascii="Calibri" w:cs="Calibri" w:eastAsia="Calibri" w:hAnsi="Calibri"/>
          <w:color w:val="555555"/>
          <w:sz w:val="14"/>
          <w:szCs w:val="14"/>
        </w:rPr>
        <w:t xml:space="preserve">Platform SLAs • User Support • Escalation • Measurement</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Draft — For Ministry, Program &amp; Operations Review</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NFR + Observability Plan + DR/BCP + Operations Runbook</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60"/>
      </w:pPr>
    </w:p>
    <w:p>
      <w:pPr>
        <w:jc w:val="center"/>
      </w:pPr>
      <w:r>
        <w:rPr>
          <w:rFonts w:ascii="Calibri" w:cs="Calibri" w:eastAsia="Calibri" w:hAnsi="Calibri"/>
          <w:i/>
          <w:iCs/>
          <w:color w:val="555555"/>
          <w:sz w:val="14"/>
          <w:szCs w:val="14"/>
        </w:rPr>
        <w:t xml:space="preserve">"Clear commitments. Transparent measurement. Reliable support for every aspirant."</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document defines the Service Level Agreements (SLAs) that Pariksha Mitra commits to for platform availability and performance, and the Support Model through which students, teachers, mentors, and Ministry users receive assistance. It establishes clear expectations, measurement methods, and escalation paths.</w:t>
      </w:r>
    </w:p>
    <w:p>
      <w:pPr>
        <w:pStyle w:val="Heading2"/>
        <w:spacing w:after="90" w:before="200"/>
      </w:pPr>
      <w:r>
        <w:rPr>
          <w:rFonts w:ascii="Calibri" w:cs="Calibri" w:eastAsia="Calibri" w:hAnsi="Calibri"/>
          <w:b/>
          <w:bCs/>
          <w:color w:val="2874A6"/>
          <w:sz w:val="18"/>
          <w:szCs w:val="18"/>
        </w:rPr>
        <w:t xml:space="preserve">1.2 Scope</w:t>
      </w:r>
    </w:p>
    <w:p>
      <w:pPr>
        <w:pStyle w:val="ListParagraph"/>
        <w:numPr>
          <w:ilvl w:val="0"/>
          <w:numId w:val="2"/>
        </w:numPr>
        <w:spacing w:after="40"/>
      </w:pPr>
      <w:r>
        <w:rPr>
          <w:rFonts w:ascii="Calibri" w:cs="Calibri" w:eastAsia="Calibri" w:hAnsi="Calibri"/>
          <w:sz w:val="15"/>
          <w:szCs w:val="15"/>
        </w:rPr>
        <w:t xml:space="preserve">Platform availability and performance SLAs</w:t>
      </w:r>
    </w:p>
    <w:p>
      <w:pPr>
        <w:pStyle w:val="ListParagraph"/>
        <w:numPr>
          <w:ilvl w:val="0"/>
          <w:numId w:val="2"/>
        </w:numPr>
        <w:spacing w:after="40"/>
      </w:pPr>
      <w:r>
        <w:rPr>
          <w:rFonts w:ascii="Calibri" w:cs="Calibri" w:eastAsia="Calibri" w:hAnsi="Calibri"/>
          <w:sz w:val="15"/>
          <w:szCs w:val="15"/>
        </w:rPr>
        <w:t xml:space="preserve">Support channels and response/resolution targets</w:t>
      </w:r>
    </w:p>
    <w:p>
      <w:pPr>
        <w:pStyle w:val="ListParagraph"/>
        <w:numPr>
          <w:ilvl w:val="0"/>
          <w:numId w:val="2"/>
        </w:numPr>
        <w:spacing w:after="40"/>
      </w:pPr>
      <w:r>
        <w:rPr>
          <w:rFonts w:ascii="Calibri" w:cs="Calibri" w:eastAsia="Calibri" w:hAnsi="Calibri"/>
          <w:sz w:val="15"/>
          <w:szCs w:val="15"/>
        </w:rPr>
        <w:t xml:space="preserve">Support tiers and escalation</w:t>
      </w:r>
    </w:p>
    <w:p>
      <w:pPr>
        <w:pStyle w:val="ListParagraph"/>
        <w:numPr>
          <w:ilvl w:val="0"/>
          <w:numId w:val="2"/>
        </w:numPr>
        <w:spacing w:after="40"/>
      </w:pPr>
      <w:r>
        <w:rPr>
          <w:rFonts w:ascii="Calibri" w:cs="Calibri" w:eastAsia="Calibri" w:hAnsi="Calibri"/>
          <w:sz w:val="15"/>
          <w:szCs w:val="15"/>
        </w:rPr>
        <w:t xml:space="preserve">Roles and responsibilities</w:t>
      </w:r>
    </w:p>
    <w:p>
      <w:pPr>
        <w:pStyle w:val="ListParagraph"/>
        <w:numPr>
          <w:ilvl w:val="0"/>
          <w:numId w:val="2"/>
        </w:numPr>
        <w:spacing w:after="40"/>
      </w:pPr>
      <w:r>
        <w:rPr>
          <w:rFonts w:ascii="Calibri" w:cs="Calibri" w:eastAsia="Calibri" w:hAnsi="Calibri"/>
          <w:sz w:val="15"/>
          <w:szCs w:val="15"/>
        </w:rPr>
        <w:t xml:space="preserve">Reporting and review cadence</w:t>
      </w:r>
    </w:p>
    <w:p>
      <w:pPr>
        <w:pStyle w:val="ListParagraph"/>
        <w:numPr>
          <w:ilvl w:val="0"/>
          <w:numId w:val="2"/>
        </w:numPr>
        <w:spacing w:after="40"/>
      </w:pPr>
      <w:r>
        <w:rPr>
          <w:rFonts w:ascii="Calibri" w:cs="Calibri" w:eastAsia="Calibri" w:hAnsi="Calibri"/>
          <w:sz w:val="15"/>
          <w:szCs w:val="15"/>
        </w:rPr>
        <w:t xml:space="preserve">Exclusions and force majeure</w:t>
      </w:r>
    </w:p>
    <w:p>
      <w:pPr>
        <w:pStyle w:val="Heading2"/>
        <w:spacing w:after="90" w:before="200"/>
      </w:pPr>
      <w:r>
        <w:rPr>
          <w:rFonts w:ascii="Calibri" w:cs="Calibri" w:eastAsia="Calibri" w:hAnsi="Calibri"/>
          <w:b/>
          <w:bCs/>
          <w:color w:val="2874A6"/>
          <w:sz w:val="18"/>
          <w:szCs w:val="18"/>
        </w:rPr>
        <w:t xml:space="preserve">1.3 Parties</w:t>
      </w:r>
    </w:p>
    <w:p>
      <w:pPr>
        <w:pStyle w:val="ListParagraph"/>
        <w:numPr>
          <w:ilvl w:val="0"/>
          <w:numId w:val="2"/>
        </w:numPr>
        <w:spacing w:after="40"/>
      </w:pPr>
      <w:r>
        <w:rPr>
          <w:rFonts w:ascii="Calibri" w:cs="Calibri" w:eastAsia="Calibri" w:hAnsi="Calibri"/>
          <w:sz w:val="15"/>
          <w:szCs w:val="15"/>
        </w:rPr>
        <w:t xml:space="preserve">Service Provider: Implementing agency / platform operator under Ministry of Education</w:t>
      </w:r>
    </w:p>
    <w:p>
      <w:pPr>
        <w:pStyle w:val="ListParagraph"/>
        <w:numPr>
          <w:ilvl w:val="0"/>
          <w:numId w:val="2"/>
        </w:numPr>
        <w:spacing w:after="40"/>
      </w:pPr>
      <w:r>
        <w:rPr>
          <w:rFonts w:ascii="Calibri" w:cs="Calibri" w:eastAsia="Calibri" w:hAnsi="Calibri"/>
          <w:sz w:val="15"/>
          <w:szCs w:val="15"/>
        </w:rPr>
        <w:t xml:space="preserve">Service Consumer: Students, Teachers, Mentors, Ministry users, and authorised partners</w:t>
      </w:r>
    </w:p>
    <w:p>
      <w:pPr>
        <w:pStyle w:val="ListParagraph"/>
        <w:numPr>
          <w:ilvl w:val="0"/>
          <w:numId w:val="2"/>
        </w:numPr>
        <w:spacing w:after="40"/>
      </w:pPr>
      <w:r>
        <w:rPr>
          <w:rFonts w:ascii="Calibri" w:cs="Calibri" w:eastAsia="Calibri" w:hAnsi="Calibri"/>
          <w:sz w:val="15"/>
          <w:szCs w:val="15"/>
        </w:rPr>
        <w:t xml:space="preserve">Oversight: Ministry of Education / designated governance body</w:t>
      </w:r>
    </w:p>
    <w:p>
      <w:pPr>
        <w:pStyle w:val="Heading1"/>
        <w:spacing w:after="140" w:before="280"/>
      </w:pPr>
      <w:r>
        <w:rPr>
          <w:rFonts w:ascii="Calibri" w:cs="Calibri" w:eastAsia="Calibri" w:hAnsi="Calibri"/>
          <w:b/>
          <w:bCs/>
          <w:color w:val="1B4F72"/>
          <w:sz w:val="24"/>
          <w:szCs w:val="24"/>
        </w:rPr>
        <w:t xml:space="preserve">2. PLATFORM SERVICE LEVEL AGREEMENTS</w:t>
      </w:r>
    </w:p>
    <w:p>
      <w:pPr>
        <w:pStyle w:val="Heading2"/>
        <w:spacing w:after="90" w:before="200"/>
      </w:pPr>
      <w:r>
        <w:rPr>
          <w:rFonts w:ascii="Calibri" w:cs="Calibri" w:eastAsia="Calibri" w:hAnsi="Calibri"/>
          <w:b/>
          <w:bCs/>
          <w:color w:val="2874A6"/>
          <w:sz w:val="18"/>
          <w:szCs w:val="18"/>
        </w:rPr>
        <w:t xml:space="preserve">2.1 Availability SLA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200"/>
      </w:tblGrid>
      <w:tr>
        <w:tc>
          <w:tcPr>
            <w:tcW w:type="dxa" w:w="3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Metric</w:t>
            </w:r>
          </w:p>
        </w:tc>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Target</w:t>
            </w:r>
          </w:p>
        </w:tc>
        <w:tc>
          <w:tcPr>
            <w:tcW w:type="dxa" w:w="42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Measurement</w:t>
            </w:r>
          </w:p>
        </w:tc>
      </w:tr>
      <w:tr>
        <w:tc>
          <w:tcPr>
            <w:tcW w:type="dxa" w:w="3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Monthly Platform Uptime</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99.5%</w:t>
            </w:r>
          </w:p>
        </w:tc>
        <w:tc>
          <w:tcPr>
            <w:tcW w:type="dxa" w:w="4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Excludes planned maintenance; measured via synthetic + internal health</w:t>
            </w:r>
          </w:p>
        </w:tc>
      </w:tr>
      <w:tr>
        <w:tc>
          <w:tcPr>
            <w:tcW w:type="dxa" w:w="3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Critical Student Journeys</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99.5%+</w:t>
            </w:r>
          </w:p>
        </w:tc>
        <w:tc>
          <w:tcPr>
            <w:tcW w:type="dxa" w:w="4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Login, Video play, Practice, Mock test, Live class view</w:t>
            </w:r>
          </w:p>
        </w:tc>
      </w:tr>
    </w:tbl>
    <w:p>
      <w:pPr>
        <w:pStyle w:val="Heading2"/>
        <w:spacing w:after="90" w:before="200"/>
      </w:pPr>
      <w:r>
        <w:rPr>
          <w:rFonts w:ascii="Calibri" w:cs="Calibri" w:eastAsia="Calibri" w:hAnsi="Calibri"/>
          <w:b/>
          <w:bCs/>
          <w:color w:val="2874A6"/>
          <w:sz w:val="18"/>
          <w:szCs w:val="18"/>
        </w:rPr>
        <w:t xml:space="preserve">2.2 Performance SLAs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3400"/>
      </w:tblGrid>
      <w:tr>
        <w:tc>
          <w:tcPr>
            <w:tcW w:type="dxa" w:w="4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Service / Operation</w:t>
            </w:r>
          </w:p>
        </w:tc>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Target (p95)</w:t>
            </w:r>
          </w:p>
        </w:tc>
        <w:tc>
          <w:tcPr>
            <w:tcW w:type="dxa" w:w="3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Notes</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API — Standard reads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300–500 ms</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Endpoint dependent</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OTP delivery (SMS)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Within 30–60 s typical</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Dependent on SMS provider</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Video start time (4G)</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2 s</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Under normal conditions</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AI Doubt Solver (text)</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3 s</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p95 under design load</w:t>
            </w:r>
          </w:p>
        </w:tc>
      </w:tr>
      <w:tr>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Mock test result generation</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&lt; 2–3 minutes</w:t>
            </w:r>
          </w:p>
        </w:tc>
        <w:tc>
          <w:tcPr>
            <w:tcW w:type="dxa" w:w="3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After submission</w:t>
            </w:r>
          </w:p>
        </w:tc>
      </w:tr>
    </w:tbl>
    <w:p>
      <w:pPr>
        <w:pStyle w:val="Heading2"/>
        <w:spacing w:after="90" w:before="200"/>
      </w:pPr>
      <w:r>
        <w:rPr>
          <w:rFonts w:ascii="Calibri" w:cs="Calibri" w:eastAsia="Calibri" w:hAnsi="Calibri"/>
          <w:b/>
          <w:bCs/>
          <w:color w:val="2874A6"/>
          <w:sz w:val="18"/>
          <w:szCs w:val="18"/>
        </w:rPr>
        <w:t xml:space="preserve">2.3 Planned Maintenance</w:t>
      </w:r>
    </w:p>
    <w:p>
      <w:pPr>
        <w:pStyle w:val="ListParagraph"/>
        <w:numPr>
          <w:ilvl w:val="0"/>
          <w:numId w:val="2"/>
        </w:numPr>
        <w:spacing w:after="40"/>
      </w:pPr>
      <w:r>
        <w:rPr>
          <w:rFonts w:ascii="Calibri" w:cs="Calibri" w:eastAsia="Calibri" w:hAnsi="Calibri"/>
          <w:sz w:val="15"/>
          <w:szCs w:val="15"/>
        </w:rPr>
        <w:t xml:space="preserve">Scheduled during low-traffic windows where possible</w:t>
      </w:r>
    </w:p>
    <w:p>
      <w:pPr>
        <w:pStyle w:val="ListParagraph"/>
        <w:numPr>
          <w:ilvl w:val="0"/>
          <w:numId w:val="2"/>
        </w:numPr>
        <w:spacing w:after="40"/>
      </w:pPr>
      <w:r>
        <w:rPr>
          <w:rFonts w:ascii="Calibri" w:cs="Calibri" w:eastAsia="Calibri" w:hAnsi="Calibri"/>
          <w:sz w:val="15"/>
          <w:szCs w:val="15"/>
        </w:rPr>
        <w:t xml:space="preserve">Advance notice: minimum 48–72 hours for significant maintenance (via in-app, website, status page)</w:t>
      </w:r>
    </w:p>
    <w:p>
      <w:pPr>
        <w:pStyle w:val="ListParagraph"/>
        <w:numPr>
          <w:ilvl w:val="0"/>
          <w:numId w:val="2"/>
        </w:numPr>
        <w:spacing w:after="40"/>
      </w:pPr>
      <w:r>
        <w:rPr>
          <w:rFonts w:ascii="Calibri" w:cs="Calibri" w:eastAsia="Calibri" w:hAnsi="Calibri"/>
          <w:sz w:val="15"/>
          <w:szCs w:val="15"/>
        </w:rPr>
        <w:t xml:space="preserve">Emergency maintenance may proceed with shorter or concurrent notice</w:t>
      </w:r>
    </w:p>
    <w:p>
      <w:pPr>
        <w:pStyle w:val="ListParagraph"/>
        <w:numPr>
          <w:ilvl w:val="0"/>
          <w:numId w:val="2"/>
        </w:numPr>
        <w:spacing w:after="40"/>
      </w:pPr>
      <w:r>
        <w:rPr>
          <w:rFonts w:ascii="Calibri" w:cs="Calibri" w:eastAsia="Calibri" w:hAnsi="Calibri"/>
          <w:sz w:val="15"/>
          <w:szCs w:val="15"/>
        </w:rPr>
        <w:t xml:space="preserve">Duration and impact communicated clearly</w:t>
      </w:r>
    </w:p>
    <w:p>
      <w:pPr>
        <w:pStyle w:val="Heading2"/>
        <w:spacing w:after="90" w:before="200"/>
      </w:pPr>
      <w:r>
        <w:rPr>
          <w:rFonts w:ascii="Calibri" w:cs="Calibri" w:eastAsia="Calibri" w:hAnsi="Calibri"/>
          <w:b/>
          <w:bCs/>
          <w:color w:val="2874A6"/>
          <w:sz w:val="18"/>
          <w:szCs w:val="18"/>
        </w:rPr>
        <w:t xml:space="preserve">2.4 Measurement &amp; Reporting</w:t>
      </w:r>
    </w:p>
    <w:p>
      <w:pPr>
        <w:pStyle w:val="ListParagraph"/>
        <w:numPr>
          <w:ilvl w:val="0"/>
          <w:numId w:val="2"/>
        </w:numPr>
        <w:spacing w:after="40"/>
      </w:pPr>
      <w:r>
        <w:rPr>
          <w:rFonts w:ascii="Calibri" w:cs="Calibri" w:eastAsia="Calibri" w:hAnsi="Calibri"/>
          <w:sz w:val="15"/>
          <w:szCs w:val="15"/>
        </w:rPr>
        <w:t xml:space="preserve">Availability and latency measured continuously via monitoring and synthetic probes</w:t>
      </w:r>
    </w:p>
    <w:p>
      <w:pPr>
        <w:pStyle w:val="ListParagraph"/>
        <w:numPr>
          <w:ilvl w:val="0"/>
          <w:numId w:val="2"/>
        </w:numPr>
        <w:spacing w:after="40"/>
      </w:pPr>
      <w:r>
        <w:rPr>
          <w:rFonts w:ascii="Calibri" w:cs="Calibri" w:eastAsia="Calibri" w:hAnsi="Calibri"/>
          <w:sz w:val="15"/>
          <w:szCs w:val="15"/>
        </w:rPr>
        <w:t xml:space="preserve">Monthly SLA report shared with Ministry governance</w:t>
      </w:r>
    </w:p>
    <w:p>
      <w:pPr>
        <w:pStyle w:val="ListParagraph"/>
        <w:numPr>
          <w:ilvl w:val="0"/>
          <w:numId w:val="2"/>
        </w:numPr>
        <w:spacing w:after="40"/>
      </w:pPr>
      <w:r>
        <w:rPr>
          <w:rFonts w:ascii="Calibri" w:cs="Calibri" w:eastAsia="Calibri" w:hAnsi="Calibri"/>
          <w:sz w:val="15"/>
          <w:szCs w:val="15"/>
        </w:rPr>
        <w:t xml:space="preserve">Significant breaches investigated with root-cause and corrective actions</w:t>
      </w:r>
    </w:p>
    <w:p>
      <w:pPr>
        <w:pStyle w:val="ListParagraph"/>
        <w:numPr>
          <w:ilvl w:val="0"/>
          <w:numId w:val="2"/>
        </w:numPr>
        <w:spacing w:after="40"/>
      </w:pPr>
      <w:r>
        <w:rPr>
          <w:rFonts w:ascii="Calibri" w:cs="Calibri" w:eastAsia="Calibri" w:hAnsi="Calibri"/>
          <w:sz w:val="15"/>
          <w:szCs w:val="15"/>
        </w:rPr>
        <w:t xml:space="preserve">Error budgets (from Observability Plan) used operationally to balance release velocity and reliability</w:t>
      </w:r>
    </w:p>
    <w:p>
      <w:pPr>
        <w:pStyle w:val="Heading1"/>
        <w:spacing w:after="140" w:before="280"/>
      </w:pPr>
      <w:r>
        <w:rPr>
          <w:rFonts w:ascii="Calibri" w:cs="Calibri" w:eastAsia="Calibri" w:hAnsi="Calibri"/>
          <w:b/>
          <w:bCs/>
          <w:color w:val="1B4F72"/>
          <w:sz w:val="24"/>
          <w:szCs w:val="24"/>
        </w:rPr>
        <w:t xml:space="preserve">3. SUPPORT MODEL</w:t>
      </w:r>
    </w:p>
    <w:p>
      <w:pPr>
        <w:pStyle w:val="Heading2"/>
        <w:spacing w:after="90" w:before="200"/>
      </w:pPr>
      <w:r>
        <w:rPr>
          <w:rFonts w:ascii="Calibri" w:cs="Calibri" w:eastAsia="Calibri" w:hAnsi="Calibri"/>
          <w:b/>
          <w:bCs/>
          <w:color w:val="2874A6"/>
          <w:sz w:val="18"/>
          <w:szCs w:val="18"/>
        </w:rPr>
        <w:t xml:space="preserve">3.1 Support Principles</w:t>
      </w:r>
    </w:p>
    <w:p>
      <w:pPr>
        <w:pStyle w:val="ListParagraph"/>
        <w:numPr>
          <w:ilvl w:val="0"/>
          <w:numId w:val="2"/>
        </w:numPr>
        <w:spacing w:after="40"/>
      </w:pPr>
      <w:r>
        <w:rPr>
          <w:rFonts w:ascii="Calibri" w:cs="Calibri" w:eastAsia="Calibri" w:hAnsi="Calibri"/>
          <w:sz w:val="15"/>
          <w:szCs w:val="15"/>
        </w:rPr>
        <w:t xml:space="preserve">Students should never feel abandoned — clear channels and realistic expectations</w:t>
      </w:r>
    </w:p>
    <w:p>
      <w:pPr>
        <w:pStyle w:val="ListParagraph"/>
        <w:numPr>
          <w:ilvl w:val="0"/>
          <w:numId w:val="2"/>
        </w:numPr>
        <w:spacing w:after="40"/>
      </w:pPr>
      <w:r>
        <w:rPr>
          <w:rFonts w:ascii="Calibri" w:cs="Calibri" w:eastAsia="Calibri" w:hAnsi="Calibri"/>
          <w:sz w:val="15"/>
          <w:szCs w:val="15"/>
        </w:rPr>
        <w:t xml:space="preserve">Self-service first (FAQs, in-app help, status page)</w:t>
      </w:r>
    </w:p>
    <w:p>
      <w:pPr>
        <w:pStyle w:val="ListParagraph"/>
        <w:numPr>
          <w:ilvl w:val="0"/>
          <w:numId w:val="2"/>
        </w:numPr>
        <w:spacing w:after="40"/>
      </w:pPr>
      <w:r>
        <w:rPr>
          <w:rFonts w:ascii="Calibri" w:cs="Calibri" w:eastAsia="Calibri" w:hAnsi="Calibri"/>
          <w:sz w:val="15"/>
          <w:szCs w:val="15"/>
        </w:rPr>
        <w:t xml:space="preserve">Human support for issues that self-service cannot resolve</w:t>
      </w:r>
    </w:p>
    <w:p>
      <w:pPr>
        <w:pStyle w:val="ListParagraph"/>
        <w:numPr>
          <w:ilvl w:val="0"/>
          <w:numId w:val="2"/>
        </w:numPr>
        <w:spacing w:after="40"/>
      </w:pPr>
      <w:r>
        <w:rPr>
          <w:rFonts w:ascii="Calibri" w:cs="Calibri" w:eastAsia="Calibri" w:hAnsi="Calibri"/>
          <w:sz w:val="15"/>
          <w:szCs w:val="15"/>
        </w:rPr>
        <w:t xml:space="preserve">Teachers and mentors have dedicated support paths</w:t>
      </w:r>
    </w:p>
    <w:p>
      <w:pPr>
        <w:pStyle w:val="ListParagraph"/>
        <w:numPr>
          <w:ilvl w:val="0"/>
          <w:numId w:val="2"/>
        </w:numPr>
        <w:spacing w:after="40"/>
      </w:pPr>
      <w:r>
        <w:rPr>
          <w:rFonts w:ascii="Calibri" w:cs="Calibri" w:eastAsia="Calibri" w:hAnsi="Calibri"/>
          <w:sz w:val="15"/>
          <w:szCs w:val="15"/>
        </w:rPr>
        <w:t xml:space="preserve">Ministry users have priority operational support</w:t>
      </w:r>
    </w:p>
    <w:p>
      <w:pPr>
        <w:pStyle w:val="Heading2"/>
        <w:spacing w:after="90" w:before="200"/>
      </w:pPr>
      <w:r>
        <w:rPr>
          <w:rFonts w:ascii="Calibri" w:cs="Calibri" w:eastAsia="Calibri" w:hAnsi="Calibri"/>
          <w:b/>
          <w:bCs/>
          <w:color w:val="2874A6"/>
          <w:sz w:val="18"/>
          <w:szCs w:val="18"/>
        </w:rPr>
        <w:t xml:space="preserve">3.2 Support Channels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700"/>
      </w:tblGrid>
      <w:tr>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Channel</w:t>
            </w:r>
          </w:p>
        </w:tc>
        <w:tc>
          <w:tcPr>
            <w:tcW w:type="dxa" w:w="4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Audience</w:t>
            </w:r>
          </w:p>
        </w:tc>
        <w:tc>
          <w:tcPr>
            <w:tcW w:type="dxa" w:w="3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Purpose</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In-App Help / FAQ</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All users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Self-service answers, guides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In-App / Web Ticket</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Students, Teachers, Mentors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Raise and track support requests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Email Support</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All registered users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Formal requests, attachments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Teacher Support Desk</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Verified Teachers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Content upload, payment, guidelines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Ministry Desk</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Ministry / NIC authorised users</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Dashboard, reports, escalations</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Status Page</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Public</w:t>
            </w:r>
          </w:p>
        </w:tc>
        <w:tc>
          <w:tcPr>
            <w:tcW w:type="dxa" w:w="3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Outage and maintenance communication</w:t>
            </w:r>
          </w:p>
        </w:tc>
      </w:tr>
    </w:tbl>
    <w:p>
      <w:pPr>
        <w:pStyle w:val="Heading2"/>
        <w:spacing w:after="90" w:before="200"/>
      </w:pPr>
      <w:r>
        <w:rPr>
          <w:rFonts w:ascii="Calibri" w:cs="Calibri" w:eastAsia="Calibri" w:hAnsi="Calibri"/>
          <w:b/>
          <w:bCs/>
          <w:color w:val="2874A6"/>
          <w:sz w:val="18"/>
          <w:szCs w:val="18"/>
        </w:rPr>
        <w:t xml:space="preserve">3.3 Support Hours</w:t>
      </w:r>
    </w:p>
    <w:p>
      <w:pPr>
        <w:pStyle w:val="ListParagraph"/>
        <w:numPr>
          <w:ilvl w:val="0"/>
          <w:numId w:val="2"/>
        </w:numPr>
        <w:spacing w:after="40"/>
      </w:pPr>
      <w:r>
        <w:rPr>
          <w:rFonts w:ascii="Calibri" w:cs="Calibri" w:eastAsia="Calibri" w:hAnsi="Calibri"/>
          <w:sz w:val="15"/>
          <w:szCs w:val="15"/>
        </w:rPr>
        <w:t xml:space="preserve">Self-service (FAQ, status page): 24×7</w:t>
      </w:r>
    </w:p>
    <w:p>
      <w:pPr>
        <w:pStyle w:val="ListParagraph"/>
        <w:numPr>
          <w:ilvl w:val="0"/>
          <w:numId w:val="2"/>
        </w:numPr>
        <w:spacing w:after="40"/>
      </w:pPr>
      <w:r>
        <w:rPr>
          <w:rFonts w:ascii="Calibri" w:cs="Calibri" w:eastAsia="Calibri" w:hAnsi="Calibri"/>
          <w:sz w:val="15"/>
          <w:szCs w:val="15"/>
        </w:rPr>
        <w:t xml:space="preserve">Student ticket / email support: Extended hours (e.g., 8 AM – 10 PM IST, 7 days) with best-effort outside core hours</w:t>
      </w:r>
    </w:p>
    <w:p>
      <w:pPr>
        <w:pStyle w:val="ListParagraph"/>
        <w:numPr>
          <w:ilvl w:val="0"/>
          <w:numId w:val="2"/>
        </w:numPr>
        <w:spacing w:after="40"/>
      </w:pPr>
      <w:r>
        <w:rPr>
          <w:rFonts w:ascii="Calibri" w:cs="Calibri" w:eastAsia="Calibri" w:hAnsi="Calibri"/>
          <w:sz w:val="15"/>
          <w:szCs w:val="15"/>
        </w:rPr>
        <w:t xml:space="preserve">Teacher support: Business hours + extended for live class days</w:t>
      </w:r>
    </w:p>
    <w:p>
      <w:pPr>
        <w:pStyle w:val="ListParagraph"/>
        <w:numPr>
          <w:ilvl w:val="0"/>
          <w:numId w:val="2"/>
        </w:numPr>
        <w:spacing w:after="40"/>
      </w:pPr>
      <w:r>
        <w:rPr>
          <w:rFonts w:ascii="Calibri" w:cs="Calibri" w:eastAsia="Calibri" w:hAnsi="Calibri"/>
          <w:sz w:val="15"/>
          <w:szCs w:val="15"/>
        </w:rPr>
        <w:t xml:space="preserve">Critical platform incidents: 24×7 on-call (SRE / Platform)</w:t>
      </w:r>
    </w:p>
    <w:p>
      <w:pPr>
        <w:pStyle w:val="ListParagraph"/>
        <w:numPr>
          <w:ilvl w:val="0"/>
          <w:numId w:val="2"/>
        </w:numPr>
        <w:spacing w:after="40"/>
      </w:pPr>
      <w:r>
        <w:rPr>
          <w:rFonts w:ascii="Calibri" w:cs="Calibri" w:eastAsia="Calibri" w:hAnsi="Calibri"/>
          <w:sz w:val="15"/>
          <w:szCs w:val="15"/>
        </w:rPr>
        <w:t xml:space="preserve">Exact hours to be finalised and published before go-live</w:t>
      </w:r>
    </w:p>
    <w:p>
      <w:pPr>
        <w:pStyle w:val="Heading1"/>
        <w:spacing w:after="140" w:before="280"/>
      </w:pPr>
      <w:r>
        <w:rPr>
          <w:rFonts w:ascii="Calibri" w:cs="Calibri" w:eastAsia="Calibri" w:hAnsi="Calibri"/>
          <w:b/>
          <w:bCs/>
          <w:color w:val="1B4F72"/>
          <w:sz w:val="24"/>
          <w:szCs w:val="24"/>
        </w:rPr>
        <w:t xml:space="preserve">4. SUPPORT PRIORITY &amp; RESPONSE TARGETS</w:t>
      </w:r>
    </w:p>
    <w:p>
      <w:pPr>
        <w:pStyle w:val="Heading2"/>
        <w:spacing w:after="90" w:before="200"/>
      </w:pPr>
      <w:r>
        <w:rPr>
          <w:rFonts w:ascii="Calibri" w:cs="Calibri" w:eastAsia="Calibri" w:hAnsi="Calibri"/>
          <w:b/>
          <w:bCs/>
          <w:color w:val="2874A6"/>
          <w:sz w:val="18"/>
          <w:szCs w:val="18"/>
        </w:rPr>
        <w:t xml:space="preserve">4.1 Priority Definitions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800"/>
        <w:gridCol w:w="8400"/>
      </w:tblGrid>
      <w:tr>
        <w:tc>
          <w:tcPr>
            <w:tcW w:type="dxa" w:w="1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Priority</w:t>
            </w:r>
          </w:p>
        </w:tc>
        <w:tc>
          <w:tcPr>
            <w:tcW w:type="dxa" w:w="8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Definition</w:t>
            </w:r>
          </w:p>
        </w:tc>
      </w:tr>
      <w:tr>
        <w:tc>
          <w:tcPr>
            <w:tcW w:type="dxa" w:w="18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P1 — Critical</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Platform largely unavailable; login broken; major live class failure; data loss risk; security incident</w:t>
            </w:r>
          </w:p>
        </w:tc>
      </w:tr>
      <w:tr>
        <w:tc>
          <w:tcPr>
            <w:tcW w:type="dxa" w:w="18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P2 — High</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Major feature unavailable (video, practice, mock); significant number of users affected; no reasonable workaround</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P3 — Medium</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Partial degradation; workaround exists; individual account issues with high impact</w:t>
            </w:r>
          </w:p>
        </w:tc>
      </w:tr>
      <w:tr>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P4 — Low</w:t>
            </w:r>
          </w:p>
        </w:tc>
        <w:tc>
          <w:tcPr>
            <w:tcW w:type="dxa" w:w="8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Minor bugs, cosmetic issues, general queries, feature requests</w:t>
            </w:r>
          </w:p>
        </w:tc>
      </w:tr>
    </w:tbl>
    <w:p>
      <w:pPr>
        <w:pStyle w:val="Heading2"/>
        <w:spacing w:after="90" w:before="200"/>
      </w:pPr>
      <w:r>
        <w:rPr>
          <w:rFonts w:ascii="Calibri" w:cs="Calibri" w:eastAsia="Calibri" w:hAnsi="Calibri"/>
          <w:b/>
          <w:bCs/>
          <w:color w:val="2874A6"/>
          <w:sz w:val="18"/>
          <w:szCs w:val="18"/>
        </w:rPr>
        <w:t xml:space="preserve">4.2 Response &amp; Resolution Targets (Indicative)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800"/>
      </w:tblGrid>
      <w:tr>
        <w:tc>
          <w:tcPr>
            <w:tcW w:type="dxa" w:w="2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Priority</w:t>
            </w:r>
          </w:p>
        </w:tc>
        <w:tc>
          <w:tcPr>
            <w:tcW w:type="dxa" w:w="2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First Response</w:t>
            </w:r>
          </w:p>
        </w:tc>
        <w:tc>
          <w:tcPr>
            <w:tcW w:type="dxa" w:w="2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Target Resolution</w:t>
            </w:r>
          </w:p>
        </w:tc>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Notes</w:t>
            </w:r>
          </w:p>
        </w:tc>
      </w:tr>
      <w:tr>
        <w:tc>
          <w:tcPr>
            <w:tcW w:type="dxa" w:w="20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P1</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15–30 minutes</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4 hours (restore service)</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Aligned with RTO</w:t>
            </w:r>
          </w:p>
        </w:tc>
      </w:tr>
      <w:tr>
        <w:tc>
          <w:tcPr>
            <w:tcW w:type="dxa" w:w="20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P2</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1–2 hours</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1 business day</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May extend if complex</w:t>
            </w:r>
          </w:p>
        </w:tc>
      </w:tr>
      <w:tr>
        <w:tc>
          <w:tcPr>
            <w:tcW w:type="dxa" w:w="2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P3</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4–8 business hours</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3 business days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
            </w:r>
          </w:p>
        </w:tc>
      </w:tr>
      <w:tr>
        <w:tc>
          <w:tcPr>
            <w:tcW w:type="dxa" w:w="2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P4</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1–2 business days</w:t>
            </w:r>
          </w:p>
        </w:tc>
        <w:tc>
          <w:tcPr>
            <w:tcW w:type="dxa" w:w="2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Best effort / backlog</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May be deferred</w:t>
            </w:r>
          </w:p>
        </w:tc>
      </w:tr>
    </w:tbl>
    <w:p>
      <w:pPr>
        <w:spacing w:after="80"/>
      </w:pPr>
      <w:r>
        <w:rPr>
          <w:rFonts w:ascii="Calibri" w:cs="Calibri" w:eastAsia="Calibri" w:hAnsi="Calibri"/>
          <w:sz w:val="16"/>
          <w:szCs w:val="16"/>
        </w:rPr>
        <w:t xml:space="preserve">Note: “Resolution” for P1 means restoration of service (workaround or fix). Permanent root-cause fix may take longer and is tracked separately.</w:t>
      </w:r>
    </w:p>
    <w:p>
      <w:pPr>
        <w:pStyle w:val="Heading1"/>
        <w:spacing w:after="140" w:before="280"/>
      </w:pPr>
      <w:r>
        <w:rPr>
          <w:rFonts w:ascii="Calibri" w:cs="Calibri" w:eastAsia="Calibri" w:hAnsi="Calibri"/>
          <w:b/>
          <w:bCs/>
          <w:color w:val="1B4F72"/>
          <w:sz w:val="24"/>
          <w:szCs w:val="24"/>
        </w:rPr>
        <w:t xml:space="preserve">5. ESCALATION PATH</w:t>
      </w:r>
    </w:p>
    <w:p>
      <w:pPr>
        <w:pStyle w:val="ListParagraph"/>
        <w:numPr>
          <w:ilvl w:val="0"/>
          <w:numId w:val="3"/>
        </w:numPr>
        <w:spacing w:after="40"/>
      </w:pPr>
      <w:r>
        <w:rPr>
          <w:rFonts w:ascii="Calibri" w:cs="Calibri" w:eastAsia="Calibri" w:hAnsi="Calibri"/>
          <w:sz w:val="15"/>
          <w:szCs w:val="15"/>
        </w:rPr>
        <w:t xml:space="preserve">User / Teacher raises ticket or is detected by monitoring</w:t>
      </w:r>
    </w:p>
    <w:p>
      <w:pPr>
        <w:pStyle w:val="ListParagraph"/>
        <w:numPr>
          <w:ilvl w:val="0"/>
          <w:numId w:val="3"/>
        </w:numPr>
        <w:spacing w:after="40"/>
      </w:pPr>
      <w:r>
        <w:rPr>
          <w:rFonts w:ascii="Calibri" w:cs="Calibri" w:eastAsia="Calibri" w:hAnsi="Calibri"/>
          <w:sz w:val="15"/>
          <w:szCs w:val="15"/>
        </w:rPr>
        <w:t xml:space="preserve">L1 Support acknowledges and attempts resolution using knowledge base and runbooks</w:t>
      </w:r>
    </w:p>
    <w:p>
      <w:pPr>
        <w:pStyle w:val="ListParagraph"/>
        <w:numPr>
          <w:ilvl w:val="0"/>
          <w:numId w:val="3"/>
        </w:numPr>
        <w:spacing w:after="40"/>
      </w:pPr>
      <w:r>
        <w:rPr>
          <w:rFonts w:ascii="Calibri" w:cs="Calibri" w:eastAsia="Calibri" w:hAnsi="Calibri"/>
          <w:sz w:val="15"/>
          <w:szCs w:val="15"/>
        </w:rPr>
        <w:t xml:space="preserve">If unresolved or P1/P2: escalate to L2 (Service Owner / Tech Support)</w:t>
      </w:r>
    </w:p>
    <w:p>
      <w:pPr>
        <w:pStyle w:val="ListParagraph"/>
        <w:numPr>
          <w:ilvl w:val="0"/>
          <w:numId w:val="3"/>
        </w:numPr>
        <w:spacing w:after="40"/>
      </w:pPr>
      <w:r>
        <w:rPr>
          <w:rFonts w:ascii="Calibri" w:cs="Calibri" w:eastAsia="Calibri" w:hAnsi="Calibri"/>
          <w:sz w:val="15"/>
          <w:szCs w:val="15"/>
        </w:rPr>
        <w:t xml:space="preserve">Platform-wide or SEV-1: Incident Commander + SRE / Platform engaged (see Operations Runbook)</w:t>
      </w:r>
    </w:p>
    <w:p>
      <w:pPr>
        <w:pStyle w:val="ListParagraph"/>
        <w:numPr>
          <w:ilvl w:val="0"/>
          <w:numId w:val="3"/>
        </w:numPr>
        <w:spacing w:after="40"/>
      </w:pPr>
      <w:r>
        <w:rPr>
          <w:rFonts w:ascii="Calibri" w:cs="Calibri" w:eastAsia="Calibri" w:hAnsi="Calibri"/>
          <w:sz w:val="15"/>
          <w:szCs w:val="15"/>
        </w:rPr>
        <w:t xml:space="preserve">Ministry-impacting or prolonged: escalate to Program Lead and Ministry liaison</w:t>
      </w:r>
    </w:p>
    <w:p>
      <w:pPr>
        <w:pStyle w:val="ListParagraph"/>
        <w:numPr>
          <w:ilvl w:val="0"/>
          <w:numId w:val="3"/>
        </w:numPr>
        <w:spacing w:after="40"/>
      </w:pPr>
      <w:r>
        <w:rPr>
          <w:rFonts w:ascii="Calibri" w:cs="Calibri" w:eastAsia="Calibri" w:hAnsi="Calibri"/>
          <w:sz w:val="15"/>
          <w:szCs w:val="15"/>
        </w:rPr>
        <w:t xml:space="preserve">Security incidents: parallel path to Security Lead and CERT-In as required</w:t>
      </w:r>
    </w:p>
    <w:p>
      <w:pPr>
        <w:pStyle w:val="Heading1"/>
        <w:spacing w:after="140" w:before="280"/>
      </w:pPr>
      <w:r>
        <w:rPr>
          <w:rFonts w:ascii="Calibri" w:cs="Calibri" w:eastAsia="Calibri" w:hAnsi="Calibri"/>
          <w:b/>
          <w:bCs/>
          <w:color w:val="1B4F72"/>
          <w:sz w:val="24"/>
          <w:szCs w:val="24"/>
        </w:rPr>
        <w:t xml:space="preserve">6. SUPPORT ROLES &amp; RESPONSIBILITIES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Role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Responsibility</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L1 Support Agents</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First response, ticket triage, known-issue resolution, user communication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L2 Technical Support</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Deeper diagnosis, coordination with service owners, complex account issues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Service Owners / Dev</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Code/config fixes, root-cause for product defects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SRE / Platform On-Call</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Platform incidents, availability, infrastructure</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Content Ops Support</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Teacher content issues, moderation queries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Ministry Desk</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Dedicated support for Ministry users and reporting needs</w:t>
            </w:r>
          </w:p>
        </w:tc>
      </w:tr>
    </w:tbl>
    <w:p>
      <w:pPr>
        <w:pStyle w:val="Heading1"/>
        <w:spacing w:after="140" w:before="280"/>
      </w:pPr>
      <w:r>
        <w:rPr>
          <w:rFonts w:ascii="Calibri" w:cs="Calibri" w:eastAsia="Calibri" w:hAnsi="Calibri"/>
          <w:b/>
          <w:bCs/>
          <w:color w:val="1B4F72"/>
          <w:sz w:val="24"/>
          <w:szCs w:val="24"/>
        </w:rPr>
        <w:t xml:space="preserve">7. WHAT SUPPORT COVERS (AND DOES NOT)</w:t>
      </w:r>
    </w:p>
    <w:p>
      <w:pPr>
        <w:pStyle w:val="Heading2"/>
        <w:spacing w:after="90" w:before="200"/>
      </w:pPr>
      <w:r>
        <w:rPr>
          <w:rFonts w:ascii="Calibri" w:cs="Calibri" w:eastAsia="Calibri" w:hAnsi="Calibri"/>
          <w:b/>
          <w:bCs/>
          <w:color w:val="2874A6"/>
          <w:sz w:val="18"/>
          <w:szCs w:val="18"/>
        </w:rPr>
        <w:t xml:space="preserve">7.1 Covered</w:t>
      </w:r>
    </w:p>
    <w:p>
      <w:pPr>
        <w:pStyle w:val="ListParagraph"/>
        <w:numPr>
          <w:ilvl w:val="0"/>
          <w:numId w:val="2"/>
        </w:numPr>
        <w:spacing w:after="40"/>
      </w:pPr>
      <w:r>
        <w:rPr>
          <w:rFonts w:ascii="Calibri" w:cs="Calibri" w:eastAsia="Calibri" w:hAnsi="Calibri"/>
          <w:sz w:val="15"/>
          <w:szCs w:val="15"/>
        </w:rPr>
        <w:t xml:space="preserve">Platform access and login issues</w:t>
      </w:r>
    </w:p>
    <w:p>
      <w:pPr>
        <w:pStyle w:val="ListParagraph"/>
        <w:numPr>
          <w:ilvl w:val="0"/>
          <w:numId w:val="2"/>
        </w:numPr>
        <w:spacing w:after="40"/>
      </w:pPr>
      <w:r>
        <w:rPr>
          <w:rFonts w:ascii="Calibri" w:cs="Calibri" w:eastAsia="Calibri" w:hAnsi="Calibri"/>
          <w:sz w:val="15"/>
          <w:szCs w:val="15"/>
        </w:rPr>
        <w:t xml:space="preserve">Feature not working as designed</w:t>
      </w:r>
    </w:p>
    <w:p>
      <w:pPr>
        <w:pStyle w:val="ListParagraph"/>
        <w:numPr>
          <w:ilvl w:val="0"/>
          <w:numId w:val="2"/>
        </w:numPr>
        <w:spacing w:after="40"/>
      </w:pPr>
      <w:r>
        <w:rPr>
          <w:rFonts w:ascii="Calibri" w:cs="Calibri" w:eastAsia="Calibri" w:hAnsi="Calibri"/>
          <w:sz w:val="15"/>
          <w:szCs w:val="15"/>
        </w:rPr>
        <w:t xml:space="preserve">Content playback or download problems (platform-side)</w:t>
      </w:r>
    </w:p>
    <w:p>
      <w:pPr>
        <w:pStyle w:val="ListParagraph"/>
        <w:numPr>
          <w:ilvl w:val="0"/>
          <w:numId w:val="2"/>
        </w:numPr>
        <w:spacing w:after="40"/>
      </w:pPr>
      <w:r>
        <w:rPr>
          <w:rFonts w:ascii="Calibri" w:cs="Calibri" w:eastAsia="Calibri" w:hAnsi="Calibri"/>
          <w:sz w:val="15"/>
          <w:szCs w:val="15"/>
        </w:rPr>
        <w:t xml:space="preserve">Account and profile issues</w:t>
      </w:r>
    </w:p>
    <w:p>
      <w:pPr>
        <w:pStyle w:val="ListParagraph"/>
        <w:numPr>
          <w:ilvl w:val="0"/>
          <w:numId w:val="2"/>
        </w:numPr>
        <w:spacing w:after="40"/>
      </w:pPr>
      <w:r>
        <w:rPr>
          <w:rFonts w:ascii="Calibri" w:cs="Calibri" w:eastAsia="Calibri" w:hAnsi="Calibri"/>
          <w:sz w:val="15"/>
          <w:szCs w:val="15"/>
        </w:rPr>
        <w:t xml:space="preserve">Teacher portal and content upload problems</w:t>
      </w:r>
    </w:p>
    <w:p>
      <w:pPr>
        <w:pStyle w:val="ListParagraph"/>
        <w:numPr>
          <w:ilvl w:val="0"/>
          <w:numId w:val="2"/>
        </w:numPr>
        <w:spacing w:after="40"/>
      </w:pPr>
      <w:r>
        <w:rPr>
          <w:rFonts w:ascii="Calibri" w:cs="Calibri" w:eastAsia="Calibri" w:hAnsi="Calibri"/>
          <w:sz w:val="15"/>
          <w:szCs w:val="15"/>
        </w:rPr>
        <w:t xml:space="preserve">Guidance on using the platform</w:t>
      </w:r>
    </w:p>
    <w:p>
      <w:pPr>
        <w:pStyle w:val="Heading2"/>
        <w:spacing w:after="90" w:before="200"/>
      </w:pPr>
      <w:r>
        <w:rPr>
          <w:rFonts w:ascii="Calibri" w:cs="Calibri" w:eastAsia="Calibri" w:hAnsi="Calibri"/>
          <w:b/>
          <w:bCs/>
          <w:color w:val="2874A6"/>
          <w:sz w:val="18"/>
          <w:szCs w:val="18"/>
        </w:rPr>
        <w:t xml:space="preserve">7.2 Not Covered / Redirected</w:t>
      </w:r>
    </w:p>
    <w:p>
      <w:pPr>
        <w:pStyle w:val="ListParagraph"/>
        <w:numPr>
          <w:ilvl w:val="0"/>
          <w:numId w:val="2"/>
        </w:numPr>
        <w:spacing w:after="40"/>
      </w:pPr>
      <w:r>
        <w:rPr>
          <w:rFonts w:ascii="Calibri" w:cs="Calibri" w:eastAsia="Calibri" w:hAnsi="Calibri"/>
          <w:sz w:val="15"/>
          <w:szCs w:val="15"/>
        </w:rPr>
        <w:t xml:space="preserve">Academic content accuracy disputes → Content Ops / subject expert path</w:t>
      </w:r>
    </w:p>
    <w:p>
      <w:pPr>
        <w:pStyle w:val="ListParagraph"/>
        <w:numPr>
          <w:ilvl w:val="0"/>
          <w:numId w:val="2"/>
        </w:numPr>
        <w:spacing w:after="40"/>
      </w:pPr>
      <w:r>
        <w:rPr>
          <w:rFonts w:ascii="Calibri" w:cs="Calibri" w:eastAsia="Calibri" w:hAnsi="Calibri"/>
          <w:sz w:val="15"/>
          <w:szCs w:val="15"/>
        </w:rPr>
        <w:t xml:space="preserve">Exam strategy or personal mentoring beyond platform features → Mentorship product</w:t>
      </w:r>
    </w:p>
    <w:p>
      <w:pPr>
        <w:pStyle w:val="ListParagraph"/>
        <w:numPr>
          <w:ilvl w:val="0"/>
          <w:numId w:val="2"/>
        </w:numPr>
        <w:spacing w:after="40"/>
      </w:pPr>
      <w:r>
        <w:rPr>
          <w:rFonts w:ascii="Calibri" w:cs="Calibri" w:eastAsia="Calibri" w:hAnsi="Calibri"/>
          <w:sz w:val="15"/>
          <w:szCs w:val="15"/>
        </w:rPr>
        <w:t xml:space="preserve">Device hardware or personal network problems beyond basic guidance</w:t>
      </w:r>
    </w:p>
    <w:p>
      <w:pPr>
        <w:pStyle w:val="ListParagraph"/>
        <w:numPr>
          <w:ilvl w:val="0"/>
          <w:numId w:val="2"/>
        </w:numPr>
        <w:spacing w:after="40"/>
      </w:pPr>
      <w:r>
        <w:rPr>
          <w:rFonts w:ascii="Calibri" w:cs="Calibri" w:eastAsia="Calibri" w:hAnsi="Calibri"/>
          <w:sz w:val="15"/>
          <w:szCs w:val="15"/>
        </w:rPr>
        <w:t xml:space="preserve">Feature requests → Product backlog (acknowledged, not treated as incidents)</w:t>
      </w:r>
    </w:p>
    <w:p>
      <w:pPr>
        <w:pStyle w:val="Heading1"/>
        <w:spacing w:after="140" w:before="280"/>
      </w:pPr>
      <w:r>
        <w:rPr>
          <w:rFonts w:ascii="Calibri" w:cs="Calibri" w:eastAsia="Calibri" w:hAnsi="Calibri"/>
          <w:b/>
          <w:bCs/>
          <w:color w:val="1B4F72"/>
          <w:sz w:val="24"/>
          <w:szCs w:val="24"/>
        </w:rPr>
        <w:t xml:space="preserve">8. REPORTING &amp; REVIEW</w:t>
      </w:r>
    </w:p>
    <w:p>
      <w:pPr>
        <w:pStyle w:val="ListParagraph"/>
        <w:numPr>
          <w:ilvl w:val="0"/>
          <w:numId w:val="2"/>
        </w:numPr>
        <w:spacing w:after="40"/>
      </w:pPr>
      <w:r>
        <w:rPr>
          <w:rFonts w:ascii="Calibri" w:cs="Calibri" w:eastAsia="Calibri" w:hAnsi="Calibri"/>
          <w:sz w:val="15"/>
          <w:szCs w:val="15"/>
        </w:rPr>
        <w:t xml:space="preserve">Monthly SLA &amp; Support metrics report to Ministry governance</w:t>
      </w:r>
    </w:p>
    <w:p>
      <w:pPr>
        <w:pStyle w:val="ListParagraph"/>
        <w:numPr>
          <w:ilvl w:val="0"/>
          <w:numId w:val="2"/>
        </w:numPr>
        <w:spacing w:after="40"/>
      </w:pPr>
      <w:r>
        <w:rPr>
          <w:rFonts w:ascii="Calibri" w:cs="Calibri" w:eastAsia="Calibri" w:hAnsi="Calibri"/>
          <w:sz w:val="15"/>
          <w:szCs w:val="15"/>
        </w:rPr>
        <w:t xml:space="preserve">Metrics include: uptime, major incidents, ticket volume by priority, response/resolution performance, top issue categories, CSAT if measured</w:t>
      </w:r>
    </w:p>
    <w:p>
      <w:pPr>
        <w:pStyle w:val="ListParagraph"/>
        <w:numPr>
          <w:ilvl w:val="0"/>
          <w:numId w:val="2"/>
        </w:numPr>
        <w:spacing w:after="40"/>
      </w:pPr>
      <w:r>
        <w:rPr>
          <w:rFonts w:ascii="Calibri" w:cs="Calibri" w:eastAsia="Calibri" w:hAnsi="Calibri"/>
          <w:sz w:val="15"/>
          <w:szCs w:val="15"/>
        </w:rPr>
        <w:t xml:space="preserve">Quarterly review of SLA targets and support capacity</w:t>
      </w:r>
    </w:p>
    <w:p>
      <w:pPr>
        <w:pStyle w:val="ListParagraph"/>
        <w:numPr>
          <w:ilvl w:val="0"/>
          <w:numId w:val="2"/>
        </w:numPr>
        <w:spacing w:after="40"/>
      </w:pPr>
      <w:r>
        <w:rPr>
          <w:rFonts w:ascii="Calibri" w:cs="Calibri" w:eastAsia="Calibri" w:hAnsi="Calibri"/>
          <w:sz w:val="15"/>
          <w:szCs w:val="15"/>
        </w:rPr>
        <w:t xml:space="preserve">Significant SLA misses trigger formal RCA and improvement plan</w:t>
      </w:r>
    </w:p>
    <w:p>
      <w:pPr>
        <w:pStyle w:val="Heading1"/>
        <w:spacing w:after="140" w:before="280"/>
      </w:pPr>
      <w:r>
        <w:rPr>
          <w:rFonts w:ascii="Calibri" w:cs="Calibri" w:eastAsia="Calibri" w:hAnsi="Calibri"/>
          <w:b/>
          <w:bCs/>
          <w:color w:val="1B4F72"/>
          <w:sz w:val="24"/>
          <w:szCs w:val="24"/>
        </w:rPr>
        <w:t xml:space="preserve">9. EXCLUSIONS &amp; FORCE MAJEURE</w:t>
      </w:r>
    </w:p>
    <w:p>
      <w:pPr>
        <w:pStyle w:val="ListParagraph"/>
        <w:numPr>
          <w:ilvl w:val="0"/>
          <w:numId w:val="2"/>
        </w:numPr>
        <w:spacing w:after="40"/>
      </w:pPr>
      <w:r>
        <w:rPr>
          <w:rFonts w:ascii="Calibri" w:cs="Calibri" w:eastAsia="Calibri" w:hAnsi="Calibri"/>
          <w:sz w:val="15"/>
          <w:szCs w:val="15"/>
        </w:rPr>
        <w:t xml:space="preserve">Failures of third-party systems outside platform control (e.g., national SMS gateway widespread outage, UIDAI nationwide downtime) — best-effort mitigation still applied</w:t>
      </w:r>
    </w:p>
    <w:p>
      <w:pPr>
        <w:pStyle w:val="ListParagraph"/>
        <w:numPr>
          <w:ilvl w:val="0"/>
          <w:numId w:val="2"/>
        </w:numPr>
        <w:spacing w:after="40"/>
      </w:pPr>
      <w:r>
        <w:rPr>
          <w:rFonts w:ascii="Calibri" w:cs="Calibri" w:eastAsia="Calibri" w:hAnsi="Calibri"/>
          <w:sz w:val="15"/>
          <w:szCs w:val="15"/>
        </w:rPr>
        <w:t xml:space="preserve">User device, browser, or local network failures</w:t>
      </w:r>
    </w:p>
    <w:p>
      <w:pPr>
        <w:pStyle w:val="ListParagraph"/>
        <w:numPr>
          <w:ilvl w:val="0"/>
          <w:numId w:val="2"/>
        </w:numPr>
        <w:spacing w:after="40"/>
      </w:pPr>
      <w:r>
        <w:rPr>
          <w:rFonts w:ascii="Calibri" w:cs="Calibri" w:eastAsia="Calibri" w:hAnsi="Calibri"/>
          <w:sz w:val="15"/>
          <w:szCs w:val="15"/>
        </w:rPr>
        <w:t xml:space="preserve">Force majeure events (natural disasters, widespread power/internet grid failure, war, etc.)</w:t>
      </w:r>
    </w:p>
    <w:p>
      <w:pPr>
        <w:pStyle w:val="ListParagraph"/>
        <w:numPr>
          <w:ilvl w:val="0"/>
          <w:numId w:val="2"/>
        </w:numPr>
        <w:spacing w:after="40"/>
      </w:pPr>
      <w:r>
        <w:rPr>
          <w:rFonts w:ascii="Calibri" w:cs="Calibri" w:eastAsia="Calibri" w:hAnsi="Calibri"/>
          <w:sz w:val="15"/>
          <w:szCs w:val="15"/>
        </w:rPr>
        <w:t xml:space="preserve">Issues caused by unauthorised modifications or misuse</w:t>
      </w:r>
    </w:p>
    <w:p>
      <w:pPr>
        <w:pStyle w:val="ListParagraph"/>
        <w:numPr>
          <w:ilvl w:val="0"/>
          <w:numId w:val="2"/>
        </w:numPr>
        <w:spacing w:after="40"/>
      </w:pPr>
      <w:r>
        <w:rPr>
          <w:rFonts w:ascii="Calibri" w:cs="Calibri" w:eastAsia="Calibri" w:hAnsi="Calibri"/>
          <w:sz w:val="15"/>
          <w:szCs w:val="15"/>
        </w:rPr>
        <w:t xml:space="preserve">During declared force majeure, platform will still attempt degraded service and clear communication</w:t>
      </w:r>
    </w:p>
    <w:p>
      <w:pPr>
        <w:pStyle w:val="Heading1"/>
        <w:spacing w:after="140" w:before="280"/>
      </w:pPr>
      <w:r>
        <w:rPr>
          <w:rFonts w:ascii="Calibri" w:cs="Calibri" w:eastAsia="Calibri" w:hAnsi="Calibri"/>
          <w:b/>
          <w:bCs/>
          <w:color w:val="1B4F72"/>
          <w:sz w:val="24"/>
          <w:szCs w:val="24"/>
        </w:rPr>
        <w:t xml:space="preserve">10. CONTINUOUS IMPROVEMENT</w:t>
      </w:r>
    </w:p>
    <w:p>
      <w:pPr>
        <w:pStyle w:val="ListParagraph"/>
        <w:numPr>
          <w:ilvl w:val="0"/>
          <w:numId w:val="2"/>
        </w:numPr>
        <w:spacing w:after="40"/>
      </w:pPr>
      <w:r>
        <w:rPr>
          <w:rFonts w:ascii="Calibri" w:cs="Calibri" w:eastAsia="Calibri" w:hAnsi="Calibri"/>
          <w:sz w:val="15"/>
          <w:szCs w:val="15"/>
        </w:rPr>
        <w:t xml:space="preserve">Support insights feed product and engineering backlogs</w:t>
      </w:r>
    </w:p>
    <w:p>
      <w:pPr>
        <w:pStyle w:val="ListParagraph"/>
        <w:numPr>
          <w:ilvl w:val="0"/>
          <w:numId w:val="2"/>
        </w:numPr>
        <w:spacing w:after="40"/>
      </w:pPr>
      <w:r>
        <w:rPr>
          <w:rFonts w:ascii="Calibri" w:cs="Calibri" w:eastAsia="Calibri" w:hAnsi="Calibri"/>
          <w:sz w:val="15"/>
          <w:szCs w:val="15"/>
        </w:rPr>
        <w:t xml:space="preserve">Knowledge base continuously expanded from common tickets</w:t>
      </w:r>
    </w:p>
    <w:p>
      <w:pPr>
        <w:pStyle w:val="ListParagraph"/>
        <w:numPr>
          <w:ilvl w:val="0"/>
          <w:numId w:val="2"/>
        </w:numPr>
        <w:spacing w:after="40"/>
      </w:pPr>
      <w:r>
        <w:rPr>
          <w:rFonts w:ascii="Calibri" w:cs="Calibri" w:eastAsia="Calibri" w:hAnsi="Calibri"/>
          <w:sz w:val="15"/>
          <w:szCs w:val="15"/>
        </w:rPr>
        <w:t xml:space="preserve">Automation of repetitive support tasks (status bots, guided troubleshooting)</w:t>
      </w:r>
    </w:p>
    <w:p>
      <w:pPr>
        <w:pStyle w:val="ListParagraph"/>
        <w:numPr>
          <w:ilvl w:val="0"/>
          <w:numId w:val="2"/>
        </w:numPr>
        <w:spacing w:after="40"/>
      </w:pPr>
      <w:r>
        <w:rPr>
          <w:rFonts w:ascii="Calibri" w:cs="Calibri" w:eastAsia="Calibri" w:hAnsi="Calibri"/>
          <w:sz w:val="15"/>
          <w:szCs w:val="15"/>
        </w:rPr>
        <w:t xml:space="preserve">Regular training for support staff on new features and runbooks</w:t>
      </w:r>
    </w:p>
    <w:p>
      <w:pPr>
        <w:pStyle w:val="ListParagraph"/>
        <w:numPr>
          <w:ilvl w:val="0"/>
          <w:numId w:val="2"/>
        </w:numPr>
        <w:spacing w:after="40"/>
      </w:pPr>
      <w:r>
        <w:rPr>
          <w:rFonts w:ascii="Calibri" w:cs="Calibri" w:eastAsia="Calibri" w:hAnsi="Calibri"/>
          <w:sz w:val="15"/>
          <w:szCs w:val="15"/>
        </w:rPr>
        <w:t xml:space="preserve">User satisfaction measurement (periodic surveys or ticket CSAT)</w:t>
      </w:r>
    </w:p>
    <w:p>
      <w:pPr>
        <w:pStyle w:val="Heading1"/>
        <w:spacing w:after="140" w:before="280"/>
      </w:pPr>
      <w:r>
        <w:rPr>
          <w:rFonts w:ascii="Calibri" w:cs="Calibri" w:eastAsia="Calibri" w:hAnsi="Calibri"/>
          <w:b/>
          <w:bCs/>
          <w:color w:val="1B4F72"/>
          <w:sz w:val="24"/>
          <w:szCs w:val="24"/>
        </w:rPr>
        <w:t xml:space="preserve">11. OPEN ITEMS</w:t>
      </w:r>
    </w:p>
    <w:p>
      <w:pPr>
        <w:pStyle w:val="ListParagraph"/>
        <w:numPr>
          <w:ilvl w:val="0"/>
          <w:numId w:val="2"/>
        </w:numPr>
        <w:spacing w:after="40"/>
      </w:pPr>
      <w:r>
        <w:rPr>
          <w:rFonts w:ascii="Calibri" w:cs="Calibri" w:eastAsia="Calibri" w:hAnsi="Calibri"/>
          <w:sz w:val="15"/>
          <w:szCs w:val="15"/>
        </w:rPr>
        <w:t xml:space="preserve">Final support hours and staffing model for Phase 1</w:t>
      </w:r>
    </w:p>
    <w:p>
      <w:pPr>
        <w:pStyle w:val="ListParagraph"/>
        <w:numPr>
          <w:ilvl w:val="0"/>
          <w:numId w:val="2"/>
        </w:numPr>
        <w:spacing w:after="40"/>
      </w:pPr>
      <w:r>
        <w:rPr>
          <w:rFonts w:ascii="Calibri" w:cs="Calibri" w:eastAsia="Calibri" w:hAnsi="Calibri"/>
          <w:sz w:val="15"/>
          <w:szCs w:val="15"/>
        </w:rPr>
        <w:t xml:space="preserve">Exact ticket system / CRM selection</w:t>
      </w:r>
    </w:p>
    <w:p>
      <w:pPr>
        <w:pStyle w:val="ListParagraph"/>
        <w:numPr>
          <w:ilvl w:val="0"/>
          <w:numId w:val="2"/>
        </w:numPr>
        <w:spacing w:after="40"/>
      </w:pPr>
      <w:r>
        <w:rPr>
          <w:rFonts w:ascii="Calibri" w:cs="Calibri" w:eastAsia="Calibri" w:hAnsi="Calibri"/>
          <w:sz w:val="15"/>
          <w:szCs w:val="15"/>
        </w:rPr>
        <w:t xml:space="preserve">CSAT measurement method and target</w:t>
      </w:r>
    </w:p>
    <w:p>
      <w:pPr>
        <w:pStyle w:val="ListParagraph"/>
        <w:numPr>
          <w:ilvl w:val="0"/>
          <w:numId w:val="2"/>
        </w:numPr>
        <w:spacing w:after="40"/>
      </w:pPr>
      <w:r>
        <w:rPr>
          <w:rFonts w:ascii="Calibri" w:cs="Calibri" w:eastAsia="Calibri" w:hAnsi="Calibri"/>
          <w:sz w:val="15"/>
          <w:szCs w:val="15"/>
        </w:rPr>
        <w:t xml:space="preserve">Ministry desk contact and escalation matrix formalisation</w:t>
      </w:r>
    </w:p>
    <w:p>
      <w:pPr>
        <w:pStyle w:val="ListParagraph"/>
        <w:numPr>
          <w:ilvl w:val="0"/>
          <w:numId w:val="2"/>
        </w:numPr>
        <w:spacing w:after="40"/>
      </w:pPr>
      <w:r>
        <w:rPr>
          <w:rFonts w:ascii="Calibri" w:cs="Calibri" w:eastAsia="Calibri" w:hAnsi="Calibri"/>
          <w:sz w:val="15"/>
          <w:szCs w:val="15"/>
        </w:rPr>
        <w:t xml:space="preserve">Published status page URL and ownership</w:t>
      </w:r>
    </w:p>
    <w:p>
      <w:pPr>
        <w:pStyle w:val="ListParagraph"/>
        <w:numPr>
          <w:ilvl w:val="0"/>
          <w:numId w:val="2"/>
        </w:numPr>
        <w:spacing w:after="40"/>
      </w:pPr>
      <w:r>
        <w:rPr>
          <w:rFonts w:ascii="Calibri" w:cs="Calibri" w:eastAsia="Calibri" w:hAnsi="Calibri"/>
          <w:sz w:val="15"/>
          <w:szCs w:val="15"/>
        </w:rPr>
        <w:t xml:space="preserve">Legal review of SLA language for any contractual use</w:t>
      </w:r>
    </w:p>
    <w:p>
      <w:pPr>
        <w:spacing w:after="160"/>
      </w:pPr>
    </w:p>
    <w:p>
      <w:pPr>
        <w:jc w:val="center"/>
      </w:pPr>
      <w:r>
        <w:rPr>
          <w:rFonts w:ascii="Calibri" w:cs="Calibri" w:eastAsia="Calibri" w:hAnsi="Calibri"/>
          <w:i/>
          <w:iCs/>
          <w:color w:val="666666"/>
          <w:sz w:val="14"/>
          <w:szCs w:val="14"/>
        </w:rPr>
        <w:t xml:space="preserve">— End of SLA &amp; Support Model Document —</w:t>
      </w:r>
    </w:p>
    <w:p>
      <w:pPr>
        <w:spacing w:before="40"/>
        <w:jc w:val="center"/>
      </w:pPr>
      <w:r>
        <w:rPr>
          <w:rFonts w:ascii="Calibri" w:cs="Calibri" w:eastAsia="Calibri" w:hAnsi="Calibri"/>
          <w:color w:val="888888"/>
          <w:sz w:val="12"/>
          <w:szCs w:val="12"/>
        </w:rPr>
        <w:t xml:space="preserve">Pariksha Mitra SLA &amp; Support Model v1.0  |  August 2026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 MITRA  |  SLA &amp; Support Model</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2026-08-19T06:42:51.201Z</dcterms:created>
  <dcterms:modified xsi:type="dcterms:W3CDTF">2026-08-19T06:42:51.202Z</dcterms:modified>
</cp:coreProperties>
</file>

<file path=docProps/custom.xml><?xml version="1.0" encoding="utf-8"?>
<Properties xmlns="http://schemas.openxmlformats.org/officeDocument/2006/custom-properties" xmlns:vt="http://schemas.openxmlformats.org/officeDocument/2006/docPropsVTypes"/>
</file>