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p>
    <w:p>
      <w:pPr>
        <w:spacing w:after="80"/>
        <w:jc w:val="center"/>
      </w:pPr>
      <w:r>
        <w:rPr>
          <w:rFonts w:ascii="Calibri" w:cs="Calibri" w:eastAsia="Calibri" w:hAnsi="Calibri"/>
          <w:b/>
          <w:bCs/>
          <w:color w:val="1B4F72"/>
          <w:sz w:val="40"/>
          <w:szCs w:val="40"/>
        </w:rPr>
        <w:t xml:space="preserve">PARIKSHA MITRA</w:t>
      </w:r>
    </w:p>
    <w:p>
      <w:pPr>
        <w:spacing w:after="40"/>
        <w:jc w:val="center"/>
      </w:pPr>
      <w:r>
        <w:rPr>
          <w:rFonts w:ascii="Calibri" w:cs="Calibri" w:eastAsia="Calibri" w:hAnsi="Calibri"/>
          <w:color w:val="2874A6"/>
          <w:sz w:val="18"/>
          <w:szCs w:val="18"/>
        </w:rPr>
        <w:t xml:space="preserve">National Free Competitive Exam Coaching Platform</w:t>
      </w:r>
    </w:p>
    <w:p>
      <w:pPr>
        <w:spacing w:after="120"/>
      </w:pPr>
    </w:p>
    <w:p>
      <w:pPr>
        <w:pBdr>
          <w:bottom w:val="single" w:color="1B4F72" w:sz="16" w:space="1"/>
        </w:pBdr>
        <w:spacing w:after="120"/>
        <w:jc w:val="center"/>
      </w:pPr>
      <w:r>
        <w:rPr>
          <w:rFonts w:ascii="Calibri" w:cs="Calibri" w:eastAsia="Calibri" w:hAnsi="Calibri"/>
          <w:b/>
          <w:bCs/>
          <w:color w:val="1B4F72"/>
          <w:sz w:val="28"/>
          <w:szCs w:val="28"/>
        </w:rPr>
        <w:t xml:space="preserve">SECURITY ARCHITECTURE</w:t>
      </w:r>
    </w:p>
    <w:p>
      <w:pPr>
        <w:spacing w:after="30"/>
        <w:jc w:val="center"/>
      </w:pPr>
      <w:r>
        <w:rPr>
          <w:rFonts w:ascii="Calibri" w:cs="Calibri" w:eastAsia="Calibri" w:hAnsi="Calibri"/>
          <w:b/>
          <w:bCs/>
          <w:color w:val="1B4F72"/>
          <w:sz w:val="26"/>
          <w:szCs w:val="26"/>
        </w:rPr>
        <w:t xml:space="preserve">&amp; THREAT MODEL</w:t>
      </w:r>
    </w:p>
    <w:p>
      <w:pPr>
        <w:spacing w:after="30"/>
        <w:jc w:val="center"/>
      </w:pPr>
      <w:r>
        <w:rPr>
          <w:rFonts w:ascii="Calibri" w:cs="Calibri" w:eastAsia="Calibri" w:hAnsi="Calibri"/>
          <w:color w:val="555555"/>
          <w:sz w:val="16"/>
          <w:szCs w:val="16"/>
        </w:rPr>
        <w:t xml:space="preserve">Industry-Level Security Design Document</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Document Version</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Document Status</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Draft — For Security &amp; NIC Review</w:t>
            </w:r>
          </w:p>
        </w:tc>
      </w:tr>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Based On</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PRD v1.0 + TRD v1.0 + SAD v1.0 + DDD v1.0</w:t>
            </w:r>
          </w:p>
        </w:tc>
      </w:tr>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Prepared For</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Ministry of Education + NIC + CERT-In Review</w:t>
            </w:r>
          </w:p>
        </w:tc>
      </w:tr>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Date</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18 August 2026</w:t>
            </w:r>
          </w:p>
        </w:tc>
      </w:tr>
      <w:tr>
        <w:tc>
          <w:tcPr>
            <w:tcW w:type="dxa" w:w="3400"/>
            <w:tcBorders>
              <w:top w:val="single" w:color="CCCCCC" w:sz="4"/>
              <w:left w:val="single" w:color="CCCCCC" w:sz="4"/>
              <w:bottom w:val="single" w:color="CCCCCC" w:sz="4"/>
              <w:right w:val="single" w:color="CCCCCC" w:sz="4"/>
            </w:tcBorders>
            <w:shd w:fill="EBF5FB" w:val="clear"/>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Classification</w:t>
            </w:r>
          </w:p>
        </w:tc>
        <w:tc>
          <w:tcPr>
            <w:tcW w:type="dxa" w:w="5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Confidential — Government Submission</w:t>
            </w:r>
          </w:p>
        </w:tc>
      </w:tr>
    </w:tbl>
    <w:p>
      <w:pPr>
        <w:spacing w:after="220"/>
      </w:pPr>
    </w:p>
    <w:p>
      <w:pPr>
        <w:jc w:val="center"/>
      </w:pPr>
      <w:r>
        <w:rPr>
          <w:rFonts w:ascii="Calibri" w:cs="Calibri" w:eastAsia="Calibri" w:hAnsi="Calibri"/>
          <w:i/>
          <w:iCs/>
          <w:color w:val="555555"/>
          <w:sz w:val="16"/>
          <w:szCs w:val="16"/>
        </w:rPr>
        <w:t xml:space="preserve">"Secure by design. Trusted by every Indian student."</w:t>
      </w:r>
    </w:p>
    <w:p>
      <w:r>
        <w:br w:type="page"/>
      </w:r>
    </w:p>
    <w:p>
      <w:pPr>
        <w:pStyle w:val="Heading1"/>
        <w:spacing w:after="150" w:before="300"/>
      </w:pPr>
      <w:r>
        <w:rPr>
          <w:rFonts w:ascii="Calibri" w:cs="Calibri" w:eastAsia="Calibri" w:hAnsi="Calibri"/>
          <w:b/>
          <w:bCs/>
          <w:color w:val="1B4F72"/>
          <w:sz w:val="26"/>
          <w:szCs w:val="26"/>
        </w:rPr>
        <w:t xml:space="preserve">1. DOCUMENT CONTROL</w:t>
      </w:r>
    </w:p>
    <w:p>
      <w:pPr>
        <w:pStyle w:val="Heading2"/>
        <w:spacing w:after="100" w:before="220"/>
      </w:pPr>
      <w:r>
        <w:rPr>
          <w:rFonts w:ascii="Calibri" w:cs="Calibri" w:eastAsia="Calibri" w:hAnsi="Calibri"/>
          <w:b/>
          <w:bCs/>
          <w:color w:val="2874A6"/>
          <w:sz w:val="20"/>
          <w:szCs w:val="20"/>
        </w:rPr>
        <w:t xml:space="preserve">1.1 Purpose</w:t>
      </w:r>
    </w:p>
    <w:p>
      <w:pPr>
        <w:spacing w:after="90"/>
      </w:pPr>
      <w:r>
        <w:rPr>
          <w:rFonts w:ascii="Calibri" w:cs="Calibri" w:eastAsia="Calibri" w:hAnsi="Calibri"/>
          <w:sz w:val="17"/>
          <w:szCs w:val="17"/>
        </w:rPr>
        <w:t xml:space="preserve">This document defines the Security Architecture and Threat Model for the Pariksha Mitra platform. It identifies assets, threats, risks, and the corresponding security controls required to protect student data, platform integrity, and government trust. It is intended for Security Architects, NIC reviewers, CERT-In auditors, Development teams, and Ministry stakeholders.</w:t>
      </w:r>
    </w:p>
    <w:p>
      <w:pPr>
        <w:pStyle w:val="Heading2"/>
        <w:spacing w:after="100" w:before="220"/>
      </w:pPr>
      <w:r>
        <w:rPr>
          <w:rFonts w:ascii="Calibri" w:cs="Calibri" w:eastAsia="Calibri" w:hAnsi="Calibri"/>
          <w:b/>
          <w:bCs/>
          <w:color w:val="2874A6"/>
          <w:sz w:val="20"/>
          <w:szCs w:val="20"/>
        </w:rPr>
        <w:t xml:space="preserve">1.2 Scope</w:t>
      </w:r>
    </w:p>
    <w:p>
      <w:pPr>
        <w:pStyle w:val="ListParagraph"/>
        <w:numPr>
          <w:ilvl w:val="0"/>
          <w:numId w:val="2"/>
        </w:numPr>
        <w:spacing w:after="45"/>
      </w:pPr>
      <w:r>
        <w:rPr>
          <w:rFonts w:ascii="Calibri" w:cs="Calibri" w:eastAsia="Calibri" w:hAnsi="Calibri"/>
          <w:sz w:val="16"/>
          <w:szCs w:val="16"/>
        </w:rPr>
        <w:t xml:space="preserve">Identity &amp; Access Management</w:t>
      </w:r>
    </w:p>
    <w:p>
      <w:pPr>
        <w:pStyle w:val="ListParagraph"/>
        <w:numPr>
          <w:ilvl w:val="0"/>
          <w:numId w:val="2"/>
        </w:numPr>
        <w:spacing w:after="45"/>
      </w:pPr>
      <w:r>
        <w:rPr>
          <w:rFonts w:ascii="Calibri" w:cs="Calibri" w:eastAsia="Calibri" w:hAnsi="Calibri"/>
          <w:sz w:val="16"/>
          <w:szCs w:val="16"/>
        </w:rPr>
        <w:t xml:space="preserve">Application, API, and data security controls</w:t>
      </w:r>
    </w:p>
    <w:p>
      <w:pPr>
        <w:pStyle w:val="ListParagraph"/>
        <w:numPr>
          <w:ilvl w:val="0"/>
          <w:numId w:val="2"/>
        </w:numPr>
        <w:spacing w:after="45"/>
      </w:pPr>
      <w:r>
        <w:rPr>
          <w:rFonts w:ascii="Calibri" w:cs="Calibri" w:eastAsia="Calibri" w:hAnsi="Calibri"/>
          <w:sz w:val="16"/>
          <w:szCs w:val="16"/>
        </w:rPr>
        <w:t xml:space="preserve">Infrastructure and network security</w:t>
      </w:r>
    </w:p>
    <w:p>
      <w:pPr>
        <w:pStyle w:val="ListParagraph"/>
        <w:numPr>
          <w:ilvl w:val="0"/>
          <w:numId w:val="2"/>
        </w:numPr>
        <w:spacing w:after="45"/>
      </w:pPr>
      <w:r>
        <w:rPr>
          <w:rFonts w:ascii="Calibri" w:cs="Calibri" w:eastAsia="Calibri" w:hAnsi="Calibri"/>
          <w:sz w:val="16"/>
          <w:szCs w:val="16"/>
        </w:rPr>
        <w:t xml:space="preserve">Threat modelling using STRIDE</w:t>
      </w:r>
    </w:p>
    <w:p>
      <w:pPr>
        <w:pStyle w:val="ListParagraph"/>
        <w:numPr>
          <w:ilvl w:val="0"/>
          <w:numId w:val="2"/>
        </w:numPr>
        <w:spacing w:after="45"/>
      </w:pPr>
      <w:r>
        <w:rPr>
          <w:rFonts w:ascii="Calibri" w:cs="Calibri" w:eastAsia="Calibri" w:hAnsi="Calibri"/>
          <w:sz w:val="16"/>
          <w:szCs w:val="16"/>
        </w:rPr>
        <w:t xml:space="preserve">Compliance mapping (DPDP Act 2023, CERT-In guidelines, OWASP)</w:t>
      </w:r>
    </w:p>
    <w:p>
      <w:pPr>
        <w:pStyle w:val="ListParagraph"/>
        <w:numPr>
          <w:ilvl w:val="0"/>
          <w:numId w:val="2"/>
        </w:numPr>
        <w:spacing w:after="45"/>
      </w:pPr>
      <w:r>
        <w:rPr>
          <w:rFonts w:ascii="Calibri" w:cs="Calibri" w:eastAsia="Calibri" w:hAnsi="Calibri"/>
          <w:sz w:val="16"/>
          <w:szCs w:val="16"/>
        </w:rPr>
        <w:t xml:space="preserve">Security testing, monitoring, and incident response requirements</w:t>
      </w:r>
    </w:p>
    <w:p>
      <w:pPr>
        <w:pStyle w:val="ListParagraph"/>
        <w:numPr>
          <w:ilvl w:val="0"/>
          <w:numId w:val="2"/>
        </w:numPr>
        <w:spacing w:after="45"/>
      </w:pPr>
      <w:r>
        <w:rPr>
          <w:rFonts w:ascii="Calibri" w:cs="Calibri" w:eastAsia="Calibri" w:hAnsi="Calibri"/>
          <w:sz w:val="16"/>
          <w:szCs w:val="16"/>
        </w:rPr>
        <w:t xml:space="preserve">Out of scope: Physical security of NIC data centres (owned by NIC)</w:t>
      </w:r>
    </w:p>
    <w:p>
      <w:pPr>
        <w:pStyle w:val="Heading2"/>
        <w:spacing w:after="100" w:before="220"/>
      </w:pPr>
      <w:r>
        <w:rPr>
          <w:rFonts w:ascii="Calibri" w:cs="Calibri" w:eastAsia="Calibri" w:hAnsi="Calibri"/>
          <w:b/>
          <w:bCs/>
          <w:color w:val="2874A6"/>
          <w:sz w:val="20"/>
          <w:szCs w:val="20"/>
        </w:rPr>
        <w:t xml:space="preserve">1.3 References</w:t>
      </w:r>
    </w:p>
    <w:p>
      <w:pPr>
        <w:pStyle w:val="ListParagraph"/>
        <w:numPr>
          <w:ilvl w:val="0"/>
          <w:numId w:val="2"/>
        </w:numPr>
        <w:spacing w:after="45"/>
      </w:pPr>
      <w:r>
        <w:rPr>
          <w:rFonts w:ascii="Calibri" w:cs="Calibri" w:eastAsia="Calibri" w:hAnsi="Calibri"/>
          <w:sz w:val="16"/>
          <w:szCs w:val="16"/>
        </w:rPr>
        <w:t xml:space="preserve">Digital Personal Data Protection Act, 2023 (DPDP Act)</w:t>
      </w:r>
    </w:p>
    <w:p>
      <w:pPr>
        <w:pStyle w:val="ListParagraph"/>
        <w:numPr>
          <w:ilvl w:val="0"/>
          <w:numId w:val="2"/>
        </w:numPr>
        <w:spacing w:after="45"/>
      </w:pPr>
      <w:r>
        <w:rPr>
          <w:rFonts w:ascii="Calibri" w:cs="Calibri" w:eastAsia="Calibri" w:hAnsi="Calibri"/>
          <w:sz w:val="16"/>
          <w:szCs w:val="16"/>
        </w:rPr>
        <w:t xml:space="preserve">CERT-In Guidelines and Empanelled VAPT requirements</w:t>
      </w:r>
    </w:p>
    <w:p>
      <w:pPr>
        <w:pStyle w:val="ListParagraph"/>
        <w:numPr>
          <w:ilvl w:val="0"/>
          <w:numId w:val="2"/>
        </w:numPr>
        <w:spacing w:after="45"/>
      </w:pPr>
      <w:r>
        <w:rPr>
          <w:rFonts w:ascii="Calibri" w:cs="Calibri" w:eastAsia="Calibri" w:hAnsi="Calibri"/>
          <w:sz w:val="16"/>
          <w:szCs w:val="16"/>
        </w:rPr>
        <w:t xml:space="preserve">OWASP Top 10 (2021) and OWASP ASVS</w:t>
      </w:r>
    </w:p>
    <w:p>
      <w:pPr>
        <w:pStyle w:val="ListParagraph"/>
        <w:numPr>
          <w:ilvl w:val="0"/>
          <w:numId w:val="2"/>
        </w:numPr>
        <w:spacing w:after="45"/>
      </w:pPr>
      <w:r>
        <w:rPr>
          <w:rFonts w:ascii="Calibri" w:cs="Calibri" w:eastAsia="Calibri" w:hAnsi="Calibri"/>
          <w:sz w:val="16"/>
          <w:szCs w:val="16"/>
        </w:rPr>
        <w:t xml:space="preserve">MeitY / NIC Cloud Security Guidelines</w:t>
      </w:r>
    </w:p>
    <w:p>
      <w:pPr>
        <w:pStyle w:val="ListParagraph"/>
        <w:numPr>
          <w:ilvl w:val="0"/>
          <w:numId w:val="2"/>
        </w:numPr>
        <w:spacing w:after="45"/>
      </w:pPr>
      <w:r>
        <w:rPr>
          <w:rFonts w:ascii="Calibri" w:cs="Calibri" w:eastAsia="Calibri" w:hAnsi="Calibri"/>
          <w:sz w:val="16"/>
          <w:szCs w:val="16"/>
        </w:rPr>
        <w:t xml:space="preserve">Pariksha Mitra PRD, TRD, SAD, DDD v1.0</w:t>
      </w:r>
    </w:p>
    <w:p>
      <w:pPr>
        <w:pStyle w:val="Heading1"/>
        <w:spacing w:after="150" w:before="300"/>
      </w:pPr>
      <w:r>
        <w:rPr>
          <w:rFonts w:ascii="Calibri" w:cs="Calibri" w:eastAsia="Calibri" w:hAnsi="Calibri"/>
          <w:b/>
          <w:bCs/>
          <w:color w:val="1B4F72"/>
          <w:sz w:val="26"/>
          <w:szCs w:val="26"/>
        </w:rPr>
        <w:t xml:space="preserve">2. SECURITY OBJECTIVES &amp; PRINCIPLES</w:t>
      </w:r>
    </w:p>
    <w:p>
      <w:pPr>
        <w:pStyle w:val="Heading2"/>
        <w:spacing w:after="100" w:before="220"/>
      </w:pPr>
      <w:r>
        <w:rPr>
          <w:rFonts w:ascii="Calibri" w:cs="Calibri" w:eastAsia="Calibri" w:hAnsi="Calibri"/>
          <w:b/>
          <w:bCs/>
          <w:color w:val="2874A6"/>
          <w:sz w:val="20"/>
          <w:szCs w:val="20"/>
        </w:rPr>
        <w:t xml:space="preserve">2.1 Security Objectives</w:t>
      </w:r>
    </w:p>
    <w:p>
      <w:pPr>
        <w:pStyle w:val="ListParagraph"/>
        <w:numPr>
          <w:ilvl w:val="0"/>
          <w:numId w:val="3"/>
        </w:numPr>
        <w:spacing w:after="45"/>
      </w:pPr>
      <w:r>
        <w:rPr>
          <w:rFonts w:ascii="Calibri" w:cs="Calibri" w:eastAsia="Calibri" w:hAnsi="Calibri"/>
          <w:sz w:val="16"/>
          <w:szCs w:val="16"/>
        </w:rPr>
        <w:t xml:space="preserve">Protect personal data of students (especially minors) in accordance with DPDP Act 2023</w:t>
      </w:r>
    </w:p>
    <w:p>
      <w:pPr>
        <w:pStyle w:val="ListParagraph"/>
        <w:numPr>
          <w:ilvl w:val="0"/>
          <w:numId w:val="3"/>
        </w:numPr>
        <w:spacing w:after="45"/>
      </w:pPr>
      <w:r>
        <w:rPr>
          <w:rFonts w:ascii="Calibri" w:cs="Calibri" w:eastAsia="Calibri" w:hAnsi="Calibri"/>
          <w:sz w:val="16"/>
          <w:szCs w:val="16"/>
        </w:rPr>
        <w:t xml:space="preserve">Prevent unauthorised access to accounts, content, and administrative functions</w:t>
      </w:r>
    </w:p>
    <w:p>
      <w:pPr>
        <w:pStyle w:val="ListParagraph"/>
        <w:numPr>
          <w:ilvl w:val="0"/>
          <w:numId w:val="3"/>
        </w:numPr>
        <w:spacing w:after="45"/>
      </w:pPr>
      <w:r>
        <w:rPr>
          <w:rFonts w:ascii="Calibri" w:cs="Calibri" w:eastAsia="Calibri" w:hAnsi="Calibri"/>
          <w:sz w:val="16"/>
          <w:szCs w:val="16"/>
        </w:rPr>
        <w:t xml:space="preserve">Ensure integrity of assessment data (test scores, attempts) — no tampering</w:t>
      </w:r>
    </w:p>
    <w:p>
      <w:pPr>
        <w:pStyle w:val="ListParagraph"/>
        <w:numPr>
          <w:ilvl w:val="0"/>
          <w:numId w:val="3"/>
        </w:numPr>
        <w:spacing w:after="45"/>
      </w:pPr>
      <w:r>
        <w:rPr>
          <w:rFonts w:ascii="Calibri" w:cs="Calibri" w:eastAsia="Calibri" w:hAnsi="Calibri"/>
          <w:sz w:val="16"/>
          <w:szCs w:val="16"/>
        </w:rPr>
        <w:t xml:space="preserve">Maintain availability of the platform during critical periods (exam seasons, live classes)</w:t>
      </w:r>
    </w:p>
    <w:p>
      <w:pPr>
        <w:pStyle w:val="ListParagraph"/>
        <w:numPr>
          <w:ilvl w:val="0"/>
          <w:numId w:val="3"/>
        </w:numPr>
        <w:spacing w:after="45"/>
      </w:pPr>
      <w:r>
        <w:rPr>
          <w:rFonts w:ascii="Calibri" w:cs="Calibri" w:eastAsia="Calibri" w:hAnsi="Calibri"/>
          <w:sz w:val="16"/>
          <w:szCs w:val="16"/>
        </w:rPr>
        <w:t xml:space="preserve">Protect video content from large-scale unauthorised redistribution (DRM)</w:t>
      </w:r>
    </w:p>
    <w:p>
      <w:pPr>
        <w:pStyle w:val="ListParagraph"/>
        <w:numPr>
          <w:ilvl w:val="0"/>
          <w:numId w:val="3"/>
        </w:numPr>
        <w:spacing w:after="45"/>
      </w:pPr>
      <w:r>
        <w:rPr>
          <w:rFonts w:ascii="Calibri" w:cs="Calibri" w:eastAsia="Calibri" w:hAnsi="Calibri"/>
          <w:sz w:val="16"/>
          <w:szCs w:val="16"/>
        </w:rPr>
        <w:t xml:space="preserve">Provide full auditability of sensitive actions for government oversight</w:t>
      </w:r>
    </w:p>
    <w:p>
      <w:pPr>
        <w:pStyle w:val="ListParagraph"/>
        <w:numPr>
          <w:ilvl w:val="0"/>
          <w:numId w:val="3"/>
        </w:numPr>
        <w:spacing w:after="45"/>
      </w:pPr>
      <w:r>
        <w:rPr>
          <w:rFonts w:ascii="Calibri" w:cs="Calibri" w:eastAsia="Calibri" w:hAnsi="Calibri"/>
          <w:sz w:val="16"/>
          <w:szCs w:val="16"/>
        </w:rPr>
        <w:t xml:space="preserve">Enable rapid detection and response to security incidents</w:t>
      </w:r>
    </w:p>
    <w:p>
      <w:pPr>
        <w:pStyle w:val="Heading2"/>
        <w:spacing w:after="100" w:before="220"/>
      </w:pPr>
      <w:r>
        <w:rPr>
          <w:rFonts w:ascii="Calibri" w:cs="Calibri" w:eastAsia="Calibri" w:hAnsi="Calibri"/>
          <w:b/>
          <w:bCs/>
          <w:color w:val="2874A6"/>
          <w:sz w:val="20"/>
          <w:szCs w:val="20"/>
        </w:rPr>
        <w:t xml:space="preserve">2.2 Guiding Security Principles</w:t>
      </w:r>
    </w:p>
    <w:p>
      <w:pPr>
        <w:pStyle w:val="ListParagraph"/>
        <w:numPr>
          <w:ilvl w:val="0"/>
          <w:numId w:val="2"/>
        </w:numPr>
        <w:spacing w:after="45"/>
      </w:pPr>
      <w:r>
        <w:rPr>
          <w:rFonts w:ascii="Calibri" w:cs="Calibri" w:eastAsia="Calibri" w:hAnsi="Calibri"/>
          <w:sz w:val="16"/>
          <w:szCs w:val="16"/>
        </w:rPr>
        <w:t xml:space="preserve">Secure by Design and by Default</w:t>
      </w:r>
    </w:p>
    <w:p>
      <w:pPr>
        <w:pStyle w:val="ListParagraph"/>
        <w:numPr>
          <w:ilvl w:val="0"/>
          <w:numId w:val="2"/>
        </w:numPr>
        <w:spacing w:after="45"/>
      </w:pPr>
      <w:r>
        <w:rPr>
          <w:rFonts w:ascii="Calibri" w:cs="Calibri" w:eastAsia="Calibri" w:hAnsi="Calibri"/>
          <w:sz w:val="16"/>
          <w:szCs w:val="16"/>
        </w:rPr>
        <w:t xml:space="preserve">Defence in Depth</w:t>
      </w:r>
    </w:p>
    <w:p>
      <w:pPr>
        <w:pStyle w:val="ListParagraph"/>
        <w:numPr>
          <w:ilvl w:val="0"/>
          <w:numId w:val="2"/>
        </w:numPr>
        <w:spacing w:after="45"/>
      </w:pPr>
      <w:r>
        <w:rPr>
          <w:rFonts w:ascii="Calibri" w:cs="Calibri" w:eastAsia="Calibri" w:hAnsi="Calibri"/>
          <w:sz w:val="16"/>
          <w:szCs w:val="16"/>
        </w:rPr>
        <w:t xml:space="preserve">Least Privilege</w:t>
      </w:r>
    </w:p>
    <w:p>
      <w:pPr>
        <w:pStyle w:val="ListParagraph"/>
        <w:numPr>
          <w:ilvl w:val="0"/>
          <w:numId w:val="2"/>
        </w:numPr>
        <w:spacing w:after="45"/>
      </w:pPr>
      <w:r>
        <w:rPr>
          <w:rFonts w:ascii="Calibri" w:cs="Calibri" w:eastAsia="Calibri" w:hAnsi="Calibri"/>
          <w:sz w:val="16"/>
          <w:szCs w:val="16"/>
        </w:rPr>
        <w:t xml:space="preserve">Zero Trust between services where practical</w:t>
      </w:r>
    </w:p>
    <w:p>
      <w:pPr>
        <w:pStyle w:val="ListParagraph"/>
        <w:numPr>
          <w:ilvl w:val="0"/>
          <w:numId w:val="2"/>
        </w:numPr>
        <w:spacing w:after="45"/>
      </w:pPr>
      <w:r>
        <w:rPr>
          <w:rFonts w:ascii="Calibri" w:cs="Calibri" w:eastAsia="Calibri" w:hAnsi="Calibri"/>
          <w:sz w:val="16"/>
          <w:szCs w:val="16"/>
        </w:rPr>
        <w:t xml:space="preserve">Data Minimisation and Purpose Limitation</w:t>
      </w:r>
    </w:p>
    <w:p>
      <w:pPr>
        <w:pStyle w:val="ListParagraph"/>
        <w:numPr>
          <w:ilvl w:val="0"/>
          <w:numId w:val="2"/>
        </w:numPr>
        <w:spacing w:after="45"/>
      </w:pPr>
      <w:r>
        <w:rPr>
          <w:rFonts w:ascii="Calibri" w:cs="Calibri" w:eastAsia="Calibri" w:hAnsi="Calibri"/>
          <w:sz w:val="16"/>
          <w:szCs w:val="16"/>
        </w:rPr>
        <w:t xml:space="preserve">Fail Securely</w:t>
      </w:r>
    </w:p>
    <w:p>
      <w:pPr>
        <w:pStyle w:val="ListParagraph"/>
        <w:numPr>
          <w:ilvl w:val="0"/>
          <w:numId w:val="2"/>
        </w:numPr>
        <w:spacing w:after="45"/>
      </w:pPr>
      <w:r>
        <w:rPr>
          <w:rFonts w:ascii="Calibri" w:cs="Calibri" w:eastAsia="Calibri" w:hAnsi="Calibri"/>
          <w:sz w:val="16"/>
          <w:szCs w:val="16"/>
        </w:rPr>
        <w:t xml:space="preserve">Complete Mediation (every request checked)</w:t>
      </w:r>
    </w:p>
    <w:p>
      <w:pPr>
        <w:pStyle w:val="ListParagraph"/>
        <w:numPr>
          <w:ilvl w:val="0"/>
          <w:numId w:val="2"/>
        </w:numPr>
        <w:spacing w:after="45"/>
      </w:pPr>
      <w:r>
        <w:rPr>
          <w:rFonts w:ascii="Calibri" w:cs="Calibri" w:eastAsia="Calibri" w:hAnsi="Calibri"/>
          <w:sz w:val="16"/>
          <w:szCs w:val="16"/>
        </w:rPr>
        <w:t xml:space="preserve">Open Design (security does not rely on obscurity)</w:t>
      </w:r>
    </w:p>
    <w:p>
      <w:pPr>
        <w:pStyle w:val="Heading1"/>
        <w:spacing w:after="150" w:before="300"/>
      </w:pPr>
      <w:r>
        <w:rPr>
          <w:rFonts w:ascii="Calibri" w:cs="Calibri" w:eastAsia="Calibri" w:hAnsi="Calibri"/>
          <w:b/>
          <w:bCs/>
          <w:color w:val="1B4F72"/>
          <w:sz w:val="26"/>
          <w:szCs w:val="26"/>
        </w:rPr>
        <w:t xml:space="preserve">3. CRITICAL ASSET INVENTORY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6000"/>
      </w:tblGrid>
      <w:tr>
        <w:tc>
          <w:tcPr>
            <w:tcW w:type="dxa" w:w="26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Asset</w:t>
            </w:r>
          </w:p>
        </w:tc>
        <w:tc>
          <w:tcPr>
            <w:tcW w:type="dxa" w:w="18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Sensitivity</w:t>
            </w:r>
          </w:p>
        </w:tc>
        <w:tc>
          <w:tcPr>
            <w:tcW w:type="dxa" w:w="60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Rationale</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Student PII (mobile, name, DOB, location)</w:t>
            </w:r>
          </w:p>
        </w:tc>
        <w:tc>
          <w:tcPr>
            <w:tcW w:type="dxa" w:w="1800"/>
            <w:tcBorders>
              <w:top w:val="single" w:color="CCCCCC" w:sz="4"/>
              <w:left w:val="single" w:color="CCCCCC" w:sz="4"/>
              <w:bottom w:val="single" w:color="CCCCCC" w:sz="4"/>
              <w:right w:val="single" w:color="CCCCCC" w:sz="4"/>
            </w:tcBorders>
            <w:shd w:fill="F5B7B1"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Personal data under DPDP; includes data of minors</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Authentication credentials &amp; sessions</w:t>
            </w:r>
          </w:p>
        </w:tc>
        <w:tc>
          <w:tcPr>
            <w:tcW w:type="dxa" w:w="1800"/>
            <w:tcBorders>
              <w:top w:val="single" w:color="CCCCCC" w:sz="4"/>
              <w:left w:val="single" w:color="CCCCCC" w:sz="4"/>
              <w:bottom w:val="single" w:color="CCCCCC" w:sz="4"/>
              <w:right w:val="single" w:color="CCCCCC" w:sz="4"/>
            </w:tcBorders>
            <w:shd w:fill="E74C3C"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Compromise leads to account takeover</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Test attempts &amp; scores</w:t>
            </w:r>
          </w:p>
        </w:tc>
        <w:tc>
          <w:tcPr>
            <w:tcW w:type="dxa" w:w="1800"/>
            <w:tcBorders>
              <w:top w:val="single" w:color="CCCCCC" w:sz="4"/>
              <w:left w:val="single" w:color="CCCCCC" w:sz="4"/>
              <w:bottom w:val="single" w:color="CCCCCC" w:sz="4"/>
              <w:right w:val="single" w:color="CCCCCC" w:sz="4"/>
            </w:tcBorders>
            <w:shd w:fill="F5B7B1"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Integrity critical for fairness and trust</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Video content &amp; recordings</w:t>
            </w:r>
          </w:p>
        </w:tc>
        <w:tc>
          <w:tcPr>
            <w:tcW w:type="dxa" w:w="1800"/>
            <w:tcBorders>
              <w:top w:val="single" w:color="CCCCCC" w:sz="4"/>
              <w:left w:val="single" w:color="CCCCCC" w:sz="4"/>
              <w:bottom w:val="single" w:color="CCCCCC" w:sz="4"/>
              <w:right w:val="single" w:color="CCCCCC" w:sz="4"/>
            </w:tcBorders>
            <w:shd w:fill="F9E79F"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IP protection; DRM applied on downloads</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AI models &amp; prompts</w:t>
            </w:r>
          </w:p>
        </w:tc>
        <w:tc>
          <w:tcPr>
            <w:tcW w:type="dxa" w:w="1800"/>
            <w:tcBorders>
              <w:top w:val="single" w:color="CCCCCC" w:sz="4"/>
              <w:left w:val="single" w:color="CCCCCC" w:sz="4"/>
              <w:bottom w:val="single" w:color="CCCCCC" w:sz="4"/>
              <w:right w:val="single" w:color="CCCCCC" w:sz="4"/>
            </w:tcBorders>
            <w:shd w:fill="F9E79F"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Intellectual property; prompt injection risk</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Ministry dashboard data</w:t>
            </w:r>
          </w:p>
        </w:tc>
        <w:tc>
          <w:tcPr>
            <w:tcW w:type="dxa" w:w="1800"/>
            <w:tcBorders>
              <w:top w:val="single" w:color="CCCCCC" w:sz="4"/>
              <w:left w:val="single" w:color="CCCCCC" w:sz="4"/>
              <w:bottom w:val="single" w:color="CCCCCC" w:sz="4"/>
              <w:right w:val="single" w:color="CCCCCC" w:sz="4"/>
            </w:tcBorders>
            <w:shd w:fill="F5B7B1"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National statistics; potential political sensitivity</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Admin / Teacher credentials</w:t>
            </w:r>
          </w:p>
        </w:tc>
        <w:tc>
          <w:tcPr>
            <w:tcW w:type="dxa" w:w="1800"/>
            <w:tcBorders>
              <w:top w:val="single" w:color="CCCCCC" w:sz="4"/>
              <w:left w:val="single" w:color="CCCCCC" w:sz="4"/>
              <w:bottom w:val="single" w:color="CCCCCC" w:sz="4"/>
              <w:right w:val="single" w:color="CCCCCC" w:sz="4"/>
            </w:tcBorders>
            <w:shd w:fill="E74C3C"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Elevated privileges; content and user management</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Encryption keys &amp; secrets</w:t>
            </w:r>
          </w:p>
        </w:tc>
        <w:tc>
          <w:tcPr>
            <w:tcW w:type="dxa" w:w="1800"/>
            <w:tcBorders>
              <w:top w:val="single" w:color="CCCCCC" w:sz="4"/>
              <w:left w:val="single" w:color="CCCCCC" w:sz="4"/>
              <w:bottom w:val="single" w:color="CCCCCC" w:sz="4"/>
              <w:right w:val="single" w:color="CCCCCC" w:sz="4"/>
            </w:tcBorders>
            <w:shd w:fill="E74C3C"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Compromise undermines all other controls</w:t>
            </w:r>
          </w:p>
        </w:tc>
      </w:tr>
      <w:tr>
        <w:tc>
          <w:tcPr>
            <w:tcW w:type="dxa" w:w="26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Audit logs</w:t>
            </w:r>
          </w:p>
        </w:tc>
        <w:tc>
          <w:tcPr>
            <w:tcW w:type="dxa" w:w="1800"/>
            <w:tcBorders>
              <w:top w:val="single" w:color="CCCCCC" w:sz="4"/>
              <w:left w:val="single" w:color="CCCCCC" w:sz="4"/>
              <w:bottom w:val="single" w:color="CCCCCC" w:sz="4"/>
              <w:right w:val="single" w:color="CCCCCC" w:sz="4"/>
            </w:tcBorders>
            <w:shd w:fill="F5B7B1" w:val="clear"/>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60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Required for investigation and compliance</w:t>
            </w:r>
          </w:p>
        </w:tc>
      </w:tr>
    </w:tbl>
    <w:p>
      <w:pPr>
        <w:pStyle w:val="Heading1"/>
        <w:spacing w:after="150" w:before="300"/>
      </w:pPr>
      <w:r>
        <w:rPr>
          <w:rFonts w:ascii="Calibri" w:cs="Calibri" w:eastAsia="Calibri" w:hAnsi="Calibri"/>
          <w:b/>
          <w:bCs/>
          <w:color w:val="1B4F72"/>
          <w:sz w:val="26"/>
          <w:szCs w:val="26"/>
        </w:rPr>
        <w:t xml:space="preserve">4. THREAT MODEL (STRIDE)</w:t>
      </w:r>
    </w:p>
    <w:p>
      <w:pPr>
        <w:pStyle w:val="Heading2"/>
        <w:spacing w:after="100" w:before="220"/>
      </w:pPr>
      <w:r>
        <w:rPr>
          <w:rFonts w:ascii="Calibri" w:cs="Calibri" w:eastAsia="Calibri" w:hAnsi="Calibri"/>
          <w:b/>
          <w:bCs/>
          <w:color w:val="2874A6"/>
          <w:sz w:val="20"/>
          <w:szCs w:val="20"/>
        </w:rPr>
        <w:t xml:space="preserve">4.1 Methodology</w:t>
      </w:r>
    </w:p>
    <w:p>
      <w:pPr>
        <w:spacing w:after="90"/>
      </w:pPr>
      <w:r>
        <w:rPr>
          <w:rFonts w:ascii="Calibri" w:cs="Calibri" w:eastAsia="Calibri" w:hAnsi="Calibri"/>
          <w:sz w:val="17"/>
          <w:szCs w:val="17"/>
        </w:rPr>
        <w:t xml:space="preserve">Threat modelling is performed using the STRIDE framework (Spoofing, Tampering, Repudiation, Information Disclosure, Denial of Service, Elevation of Privilege). Threats are prioritised by likelihood and impact in the context of a national government education platform.</w:t>
      </w:r>
    </w:p>
    <w:p>
      <w:pPr>
        <w:pStyle w:val="Heading2"/>
        <w:spacing w:after="100" w:before="220"/>
      </w:pPr>
      <w:r>
        <w:rPr>
          <w:rFonts w:ascii="Calibri" w:cs="Calibri" w:eastAsia="Calibri" w:hAnsi="Calibri"/>
          <w:b/>
          <w:bCs/>
          <w:color w:val="2874A6"/>
          <w:sz w:val="20"/>
          <w:szCs w:val="20"/>
        </w:rPr>
        <w:t xml:space="preserve">4.2 Key Threats by STRIDE Category</w:t>
      </w:r>
    </w:p>
    <w:p>
      <w:pPr>
        <w:pStyle w:val="Heading3"/>
        <w:spacing w:after="70" w:before="150"/>
      </w:pPr>
      <w:r>
        <w:rPr>
          <w:rFonts w:ascii="Calibri" w:cs="Calibri" w:eastAsia="Calibri" w:hAnsi="Calibri"/>
          <w:b/>
          <w:bCs/>
          <w:color w:val="1A5276"/>
          <w:sz w:val="17"/>
          <w:szCs w:val="17"/>
        </w:rPr>
        <w:t xml:space="preserve">4.2.1 Spoofing Identity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Credential stuffing / OTP brute force on login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Rate limiting, progressive delays, device binding, anomaly detection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SIM swap / OTP interception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Optional DigiLocker step-up; session monitoring; notify on new device</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Token theft / session hijacking</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Short-lived JWTs, secure cookie flags, refresh token rotation, binding</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Teacher/Mentor impersonation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Strict verification workflow; verified badge; admin audit</w:t>
            </w:r>
          </w:p>
        </w:tc>
      </w:tr>
    </w:tbl>
    <w:p>
      <w:pPr>
        <w:pStyle w:val="Heading3"/>
        <w:spacing w:after="70" w:before="150"/>
      </w:pPr>
      <w:r>
        <w:rPr>
          <w:rFonts w:ascii="Calibri" w:cs="Calibri" w:eastAsia="Calibri" w:hAnsi="Calibri"/>
          <w:b/>
          <w:bCs/>
          <w:color w:val="1A5276"/>
          <w:sz w:val="17"/>
          <w:szCs w:val="17"/>
        </w:rPr>
        <w:t xml:space="preserve">4.2.2 Tampering with Data</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Modification of test scores / answers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Immutable attempt records after submission; checksums; audit logs; no client-side trust</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Client-side manipulation of practice/mock results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All scoring server-side; signed responses; integrity checks</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Unauthorised content modification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RBAC; content approval workflow; versioning; audit trail</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Prompt injection against AI doubt solver</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Input sanitisation; system prompt hardening; output filtering; monitoring</w:t>
            </w:r>
          </w:p>
        </w:tc>
      </w:tr>
    </w:tbl>
    <w:p>
      <w:pPr>
        <w:pStyle w:val="Heading3"/>
        <w:spacing w:after="70" w:before="150"/>
      </w:pPr>
      <w:r>
        <w:rPr>
          <w:rFonts w:ascii="Calibri" w:cs="Calibri" w:eastAsia="Calibri" w:hAnsi="Calibri"/>
          <w:b/>
          <w:bCs/>
          <w:color w:val="1A5276"/>
          <w:sz w:val="17"/>
          <w:szCs w:val="17"/>
        </w:rPr>
        <w:t xml:space="preserve">4.2.3 Repudiation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User denies performing an action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Comprehensive immutable audit logs with timestamps and actor identity</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Admin denies configuration or data change</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Privileged action logging; dual control for critical changes where feasible</w:t>
            </w:r>
          </w:p>
        </w:tc>
      </w:tr>
    </w:tbl>
    <w:p>
      <w:pPr>
        <w:pStyle w:val="Heading3"/>
        <w:spacing w:after="70" w:before="150"/>
      </w:pPr>
      <w:r>
        <w:rPr>
          <w:rFonts w:ascii="Calibri" w:cs="Calibri" w:eastAsia="Calibri" w:hAnsi="Calibri"/>
          <w:b/>
          <w:bCs/>
          <w:color w:val="1A5276"/>
          <w:sz w:val="17"/>
          <w:szCs w:val="17"/>
        </w:rPr>
        <w:t xml:space="preserve">4.2.4 Information Disclosure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Unauthorised access to student PII</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Encryption at rest/transit; RBAC; least privilege; no Aadhaar storage</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Data leakage via logs or error messages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Structured logging without PII; generic error messages to clients</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Insecure direct object references (IDOR)</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Authorisation checks on every resource access; opaque IDs</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Exposure of video download links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Signed short-lived URLs; DRM on offline downloads; watermarking</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Misconfigured cloud storage / public buckets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Infrastructure as Code; automated config scanning; least privilege IAM</w:t>
            </w:r>
          </w:p>
        </w:tc>
      </w:tr>
    </w:tbl>
    <w:p>
      <w:pPr>
        <w:pStyle w:val="Heading3"/>
        <w:spacing w:after="70" w:before="150"/>
      </w:pPr>
      <w:r>
        <w:rPr>
          <w:rFonts w:ascii="Calibri" w:cs="Calibri" w:eastAsia="Calibri" w:hAnsi="Calibri"/>
          <w:b/>
          <w:bCs/>
          <w:color w:val="1A5276"/>
          <w:sz w:val="17"/>
          <w:szCs w:val="17"/>
        </w:rPr>
        <w:t xml:space="preserve">4.2.5 Denial of Service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Volumetric DDoS on public endpoints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WAF, CDN, rate limiting, auto-scaling, NIC-level DDoS protection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Application-layer abuse (OTP flooding, registration)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Strict rate limits, CAPTCHA/ progressive challenges, cost controls on SMS</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Live class overload</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Seat limits, overflow to HLS/YouTube, capacity planning, load testing</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Resource exhaustion via AI queries</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Per-user rate limits, request queuing, model-tiering, caching</w:t>
            </w:r>
          </w:p>
        </w:tc>
      </w:tr>
    </w:tbl>
    <w:p>
      <w:pPr>
        <w:pStyle w:val="Heading3"/>
        <w:spacing w:after="70" w:before="150"/>
      </w:pPr>
      <w:r>
        <w:rPr>
          <w:rFonts w:ascii="Calibri" w:cs="Calibri" w:eastAsia="Calibri" w:hAnsi="Calibri"/>
          <w:b/>
          <w:bCs/>
          <w:color w:val="1A5276"/>
          <w:sz w:val="17"/>
          <w:szCs w:val="17"/>
        </w:rPr>
        <w:t xml:space="preserve">4.2.6 Elevation of Privilege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4400"/>
      </w:tblGrid>
      <w:tr>
        <w:tc>
          <w:tcPr>
            <w:tcW w:type="dxa" w:w="3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Threat</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Likelihood</w:t>
            </w:r>
          </w:p>
        </w:tc>
        <w:tc>
          <w:tcPr>
            <w:tcW w:type="dxa" w:w="1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Impact</w:t>
            </w:r>
          </w:p>
        </w:tc>
        <w:tc>
          <w:tcPr>
            <w:tcW w:type="dxa" w:w="44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Mitigation</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Horizontal privilege escalation (access another user’s data)</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Medium</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High</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Strict ownership checks; server-side enforcement; IDOR testing</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Vertical escalation (student → admin)</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Role claims in signed JWT; server-side role validation; no client trust</w:t>
            </w:r>
          </w:p>
        </w:tc>
      </w:tr>
      <w:tr>
        <w:tc>
          <w:tcPr>
            <w:tcW w:type="dxa" w:w="3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Compromised service account lateral movement</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Low</w:t>
            </w:r>
          </w:p>
        </w:tc>
        <w:tc>
          <w:tcPr>
            <w:tcW w:type="dxa" w:w="1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center"/>
            </w:pPr>
            <w:r>
              <w:rPr>
                <w:rFonts w:ascii="Calibri" w:cs="Calibri" w:eastAsia="Calibri" w:hAnsi="Calibri"/>
                <w:b w:val="false"/>
                <w:bCs w:val="false"/>
                <w:color w:val="000000"/>
                <w:sz w:val="14"/>
                <w:szCs w:val="14"/>
              </w:rPr>
              <w:t xml:space="preserve">Critical</w:t>
            </w:r>
          </w:p>
        </w:tc>
        <w:tc>
          <w:tcPr>
            <w:tcW w:type="dxa" w:w="44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Least-privilege service identities; network segmentation; mTLS where feasible</w:t>
            </w:r>
          </w:p>
        </w:tc>
      </w:tr>
    </w:tbl>
    <w:p>
      <w:pPr>
        <w:pStyle w:val="Heading1"/>
        <w:spacing w:after="150" w:before="300"/>
      </w:pPr>
      <w:r>
        <w:rPr>
          <w:rFonts w:ascii="Calibri" w:cs="Calibri" w:eastAsia="Calibri" w:hAnsi="Calibri"/>
          <w:b/>
          <w:bCs/>
          <w:color w:val="1B4F72"/>
          <w:sz w:val="26"/>
          <w:szCs w:val="26"/>
        </w:rPr>
        <w:t xml:space="preserve">5. SECURITY ARCHITECTURE</w:t>
      </w:r>
    </w:p>
    <w:p>
      <w:pPr>
        <w:pStyle w:val="Heading2"/>
        <w:spacing w:after="100" w:before="220"/>
      </w:pPr>
      <w:r>
        <w:rPr>
          <w:rFonts w:ascii="Calibri" w:cs="Calibri" w:eastAsia="Calibri" w:hAnsi="Calibri"/>
          <w:b/>
          <w:bCs/>
          <w:color w:val="2874A6"/>
          <w:sz w:val="20"/>
          <w:szCs w:val="20"/>
        </w:rPr>
        <w:t xml:space="preserve">5.1 Identity &amp; Access Management</w:t>
      </w:r>
    </w:p>
    <w:p>
      <w:pPr>
        <w:pStyle w:val="ListParagraph"/>
        <w:numPr>
          <w:ilvl w:val="0"/>
          <w:numId w:val="2"/>
        </w:numPr>
        <w:spacing w:after="45"/>
      </w:pPr>
      <w:r>
        <w:rPr>
          <w:rFonts w:ascii="Calibri" w:cs="Calibri" w:eastAsia="Calibri" w:hAnsi="Calibri"/>
          <w:sz w:val="16"/>
          <w:szCs w:val="16"/>
        </w:rPr>
        <w:t xml:space="preserve">Primary authentication: Mobile number + OTP (SMS)</w:t>
      </w:r>
    </w:p>
    <w:p>
      <w:pPr>
        <w:pStyle w:val="ListParagraph"/>
        <w:numPr>
          <w:ilvl w:val="0"/>
          <w:numId w:val="2"/>
        </w:numPr>
        <w:spacing w:after="45"/>
      </w:pPr>
      <w:r>
        <w:rPr>
          <w:rFonts w:ascii="Calibri" w:cs="Calibri" w:eastAsia="Calibri" w:hAnsi="Calibri"/>
          <w:sz w:val="16"/>
          <w:szCs w:val="16"/>
        </w:rPr>
        <w:t xml:space="preserve">Optional step-up / verification: DigiLocker / Aadhaar eKYC (no Aadhaar number stored)</w:t>
      </w:r>
    </w:p>
    <w:p>
      <w:pPr>
        <w:pStyle w:val="ListParagraph"/>
        <w:numPr>
          <w:ilvl w:val="0"/>
          <w:numId w:val="2"/>
        </w:numPr>
        <w:spacing w:after="45"/>
      </w:pPr>
      <w:r>
        <w:rPr>
          <w:rFonts w:ascii="Calibri" w:cs="Calibri" w:eastAsia="Calibri" w:hAnsi="Calibri"/>
          <w:sz w:val="16"/>
          <w:szCs w:val="16"/>
        </w:rPr>
        <w:t xml:space="preserve">Session model: Short-lived access JWT (15–30 min) + longer-lived rotating refresh token</w:t>
      </w:r>
    </w:p>
    <w:p>
      <w:pPr>
        <w:pStyle w:val="ListParagraph"/>
        <w:numPr>
          <w:ilvl w:val="0"/>
          <w:numId w:val="2"/>
        </w:numPr>
        <w:spacing w:after="45"/>
      </w:pPr>
      <w:r>
        <w:rPr>
          <w:rFonts w:ascii="Calibri" w:cs="Calibri" w:eastAsia="Calibri" w:hAnsi="Calibri"/>
          <w:sz w:val="16"/>
          <w:szCs w:val="16"/>
        </w:rPr>
        <w:t xml:space="preserve">Token storage: Secure HTTP-only cookies (web) / secure storage (mobile)</w:t>
      </w:r>
    </w:p>
    <w:p>
      <w:pPr>
        <w:pStyle w:val="ListParagraph"/>
        <w:numPr>
          <w:ilvl w:val="0"/>
          <w:numId w:val="2"/>
        </w:numPr>
        <w:spacing w:after="45"/>
      </w:pPr>
      <w:r>
        <w:rPr>
          <w:rFonts w:ascii="Calibri" w:cs="Calibri" w:eastAsia="Calibri" w:hAnsi="Calibri"/>
          <w:sz w:val="16"/>
          <w:szCs w:val="16"/>
        </w:rPr>
        <w:t xml:space="preserve">RBAC roles: Student, Teacher, Mentor, Content Admin, Platform Admin, Ministry Viewer, Ministry Admin</w:t>
      </w:r>
    </w:p>
    <w:p>
      <w:pPr>
        <w:pStyle w:val="ListParagraph"/>
        <w:numPr>
          <w:ilvl w:val="0"/>
          <w:numId w:val="2"/>
        </w:numPr>
        <w:spacing w:after="45"/>
      </w:pPr>
      <w:r>
        <w:rPr>
          <w:rFonts w:ascii="Calibri" w:cs="Calibri" w:eastAsia="Calibri" w:hAnsi="Calibri"/>
          <w:sz w:val="16"/>
          <w:szCs w:val="16"/>
        </w:rPr>
        <w:t xml:space="preserve">Parental consent flow mandatory for users under 18</w:t>
      </w:r>
    </w:p>
    <w:p>
      <w:pPr>
        <w:pStyle w:val="ListParagraph"/>
        <w:numPr>
          <w:ilvl w:val="0"/>
          <w:numId w:val="2"/>
        </w:numPr>
        <w:spacing w:after="45"/>
      </w:pPr>
      <w:r>
        <w:rPr>
          <w:rFonts w:ascii="Calibri" w:cs="Calibri" w:eastAsia="Calibri" w:hAnsi="Calibri"/>
          <w:sz w:val="16"/>
          <w:szCs w:val="16"/>
        </w:rPr>
        <w:t xml:space="preserve">Forced re-authentication for sensitive actions (e.g., data export, account deletion)</w:t>
      </w:r>
    </w:p>
    <w:p>
      <w:pPr>
        <w:pStyle w:val="Heading2"/>
        <w:spacing w:after="100" w:before="220"/>
      </w:pPr>
      <w:r>
        <w:rPr>
          <w:rFonts w:ascii="Calibri" w:cs="Calibri" w:eastAsia="Calibri" w:hAnsi="Calibri"/>
          <w:b/>
          <w:bCs/>
          <w:color w:val="2874A6"/>
          <w:sz w:val="20"/>
          <w:szCs w:val="20"/>
        </w:rPr>
        <w:t xml:space="preserve">5.2 Application Security Controls</w:t>
      </w:r>
    </w:p>
    <w:p>
      <w:pPr>
        <w:pStyle w:val="ListParagraph"/>
        <w:numPr>
          <w:ilvl w:val="0"/>
          <w:numId w:val="2"/>
        </w:numPr>
        <w:spacing w:after="45"/>
      </w:pPr>
      <w:r>
        <w:rPr>
          <w:rFonts w:ascii="Calibri" w:cs="Calibri" w:eastAsia="Calibri" w:hAnsi="Calibri"/>
          <w:sz w:val="16"/>
          <w:szCs w:val="16"/>
        </w:rPr>
        <w:t xml:space="preserve">Input validation and output encoding on all boundaries</w:t>
      </w:r>
    </w:p>
    <w:p>
      <w:pPr>
        <w:pStyle w:val="ListParagraph"/>
        <w:numPr>
          <w:ilvl w:val="0"/>
          <w:numId w:val="2"/>
        </w:numPr>
        <w:spacing w:after="45"/>
      </w:pPr>
      <w:r>
        <w:rPr>
          <w:rFonts w:ascii="Calibri" w:cs="Calibri" w:eastAsia="Calibri" w:hAnsi="Calibri"/>
          <w:sz w:val="16"/>
          <w:szCs w:val="16"/>
        </w:rPr>
        <w:t xml:space="preserve">Parameterised queries / ORM (no string-concatenated SQL)</w:t>
      </w:r>
    </w:p>
    <w:p>
      <w:pPr>
        <w:pStyle w:val="ListParagraph"/>
        <w:numPr>
          <w:ilvl w:val="0"/>
          <w:numId w:val="2"/>
        </w:numPr>
        <w:spacing w:after="45"/>
      </w:pPr>
      <w:r>
        <w:rPr>
          <w:rFonts w:ascii="Calibri" w:cs="Calibri" w:eastAsia="Calibri" w:hAnsi="Calibri"/>
          <w:sz w:val="16"/>
          <w:szCs w:val="16"/>
        </w:rPr>
        <w:t xml:space="preserve">CSRF protection on state-changing web endpoints</w:t>
      </w:r>
    </w:p>
    <w:p>
      <w:pPr>
        <w:pStyle w:val="ListParagraph"/>
        <w:numPr>
          <w:ilvl w:val="0"/>
          <w:numId w:val="2"/>
        </w:numPr>
        <w:spacing w:after="45"/>
      </w:pPr>
      <w:r>
        <w:rPr>
          <w:rFonts w:ascii="Calibri" w:cs="Calibri" w:eastAsia="Calibri" w:hAnsi="Calibri"/>
          <w:sz w:val="16"/>
          <w:szCs w:val="16"/>
        </w:rPr>
        <w:t xml:space="preserve">Content Security Policy (CSP), HSTS, X-Frame-Options, and other secure headers</w:t>
      </w:r>
    </w:p>
    <w:p>
      <w:pPr>
        <w:pStyle w:val="ListParagraph"/>
        <w:numPr>
          <w:ilvl w:val="0"/>
          <w:numId w:val="2"/>
        </w:numPr>
        <w:spacing w:after="45"/>
      </w:pPr>
      <w:r>
        <w:rPr>
          <w:rFonts w:ascii="Calibri" w:cs="Calibri" w:eastAsia="Calibri" w:hAnsi="Calibri"/>
          <w:sz w:val="16"/>
          <w:szCs w:val="16"/>
        </w:rPr>
        <w:t xml:space="preserve">File upload restrictions (type, size, scanning)</w:t>
      </w:r>
    </w:p>
    <w:p>
      <w:pPr>
        <w:pStyle w:val="ListParagraph"/>
        <w:numPr>
          <w:ilvl w:val="0"/>
          <w:numId w:val="2"/>
        </w:numPr>
        <w:spacing w:after="45"/>
      </w:pPr>
      <w:r>
        <w:rPr>
          <w:rFonts w:ascii="Calibri" w:cs="Calibri" w:eastAsia="Calibri" w:hAnsi="Calibri"/>
          <w:sz w:val="16"/>
          <w:szCs w:val="16"/>
        </w:rPr>
        <w:t xml:space="preserve">Dependency scanning in CI (Snyk, Trivy, or equivalent)</w:t>
      </w:r>
    </w:p>
    <w:p>
      <w:pPr>
        <w:pStyle w:val="ListParagraph"/>
        <w:numPr>
          <w:ilvl w:val="0"/>
          <w:numId w:val="2"/>
        </w:numPr>
        <w:spacing w:after="45"/>
      </w:pPr>
      <w:r>
        <w:rPr>
          <w:rFonts w:ascii="Calibri" w:cs="Calibri" w:eastAsia="Calibri" w:hAnsi="Calibri"/>
          <w:sz w:val="16"/>
          <w:szCs w:val="16"/>
        </w:rPr>
        <w:t xml:space="preserve">Secrets never committed to source control; injected via secret manager</w:t>
      </w:r>
    </w:p>
    <w:p>
      <w:pPr>
        <w:pStyle w:val="Heading2"/>
        <w:spacing w:after="100" w:before="220"/>
      </w:pPr>
      <w:r>
        <w:rPr>
          <w:rFonts w:ascii="Calibri" w:cs="Calibri" w:eastAsia="Calibri" w:hAnsi="Calibri"/>
          <w:b/>
          <w:bCs/>
          <w:color w:val="2874A6"/>
          <w:sz w:val="20"/>
          <w:szCs w:val="20"/>
        </w:rPr>
        <w:t xml:space="preserve">5.3 API Security</w:t>
      </w:r>
    </w:p>
    <w:p>
      <w:pPr>
        <w:pStyle w:val="ListParagraph"/>
        <w:numPr>
          <w:ilvl w:val="0"/>
          <w:numId w:val="2"/>
        </w:numPr>
        <w:spacing w:after="45"/>
      </w:pPr>
      <w:r>
        <w:rPr>
          <w:rFonts w:ascii="Calibri" w:cs="Calibri" w:eastAsia="Calibri" w:hAnsi="Calibri"/>
          <w:sz w:val="16"/>
          <w:szCs w:val="16"/>
        </w:rPr>
        <w:t xml:space="preserve">All external APIs behind API Gateway (Kong)</w:t>
      </w:r>
    </w:p>
    <w:p>
      <w:pPr>
        <w:pStyle w:val="ListParagraph"/>
        <w:numPr>
          <w:ilvl w:val="0"/>
          <w:numId w:val="2"/>
        </w:numPr>
        <w:spacing w:after="45"/>
      </w:pPr>
      <w:r>
        <w:rPr>
          <w:rFonts w:ascii="Calibri" w:cs="Calibri" w:eastAsia="Calibri" w:hAnsi="Calibri"/>
          <w:sz w:val="16"/>
          <w:szCs w:val="16"/>
        </w:rPr>
        <w:t xml:space="preserve">JWT validation at gateway + service-level authorisation</w:t>
      </w:r>
    </w:p>
    <w:p>
      <w:pPr>
        <w:pStyle w:val="ListParagraph"/>
        <w:numPr>
          <w:ilvl w:val="0"/>
          <w:numId w:val="2"/>
        </w:numPr>
        <w:spacing w:after="45"/>
      </w:pPr>
      <w:r>
        <w:rPr>
          <w:rFonts w:ascii="Calibri" w:cs="Calibri" w:eastAsia="Calibri" w:hAnsi="Calibri"/>
          <w:sz w:val="16"/>
          <w:szCs w:val="16"/>
        </w:rPr>
        <w:t xml:space="preserve">Rate limiting (global, per-IP, per-user) with different tiers</w:t>
      </w:r>
    </w:p>
    <w:p>
      <w:pPr>
        <w:pStyle w:val="ListParagraph"/>
        <w:numPr>
          <w:ilvl w:val="0"/>
          <w:numId w:val="2"/>
        </w:numPr>
        <w:spacing w:after="45"/>
      </w:pPr>
      <w:r>
        <w:rPr>
          <w:rFonts w:ascii="Calibri" w:cs="Calibri" w:eastAsia="Calibri" w:hAnsi="Calibri"/>
          <w:sz w:val="16"/>
          <w:szCs w:val="16"/>
        </w:rPr>
        <w:t xml:space="preserve">Request size limits and timeouts</w:t>
      </w:r>
    </w:p>
    <w:p>
      <w:pPr>
        <w:pStyle w:val="ListParagraph"/>
        <w:numPr>
          <w:ilvl w:val="0"/>
          <w:numId w:val="2"/>
        </w:numPr>
        <w:spacing w:after="45"/>
      </w:pPr>
      <w:r>
        <w:rPr>
          <w:rFonts w:ascii="Calibri" w:cs="Calibri" w:eastAsia="Calibri" w:hAnsi="Calibri"/>
          <w:sz w:val="16"/>
          <w:szCs w:val="16"/>
        </w:rPr>
        <w:t xml:space="preserve">OpenAPI-first design; contract testing</w:t>
      </w:r>
    </w:p>
    <w:p>
      <w:pPr>
        <w:pStyle w:val="ListParagraph"/>
        <w:numPr>
          <w:ilvl w:val="0"/>
          <w:numId w:val="2"/>
        </w:numPr>
        <w:spacing w:after="45"/>
      </w:pPr>
      <w:r>
        <w:rPr>
          <w:rFonts w:ascii="Calibri" w:cs="Calibri" w:eastAsia="Calibri" w:hAnsi="Calibri"/>
          <w:sz w:val="16"/>
          <w:szCs w:val="16"/>
        </w:rPr>
        <w:t xml:space="preserve">Versioned APIs; deprecation policy</w:t>
      </w:r>
    </w:p>
    <w:p>
      <w:pPr>
        <w:pStyle w:val="Heading2"/>
        <w:spacing w:after="100" w:before="220"/>
      </w:pPr>
      <w:r>
        <w:rPr>
          <w:rFonts w:ascii="Calibri" w:cs="Calibri" w:eastAsia="Calibri" w:hAnsi="Calibri"/>
          <w:b/>
          <w:bCs/>
          <w:color w:val="2874A6"/>
          <w:sz w:val="20"/>
          <w:szCs w:val="20"/>
        </w:rPr>
        <w:t xml:space="preserve">5.4 Data Security</w:t>
      </w:r>
    </w:p>
    <w:p>
      <w:pPr>
        <w:pStyle w:val="ListParagraph"/>
        <w:numPr>
          <w:ilvl w:val="0"/>
          <w:numId w:val="2"/>
        </w:numPr>
        <w:spacing w:after="45"/>
      </w:pPr>
      <w:r>
        <w:rPr>
          <w:rFonts w:ascii="Calibri" w:cs="Calibri" w:eastAsia="Calibri" w:hAnsi="Calibri"/>
          <w:sz w:val="16"/>
          <w:szCs w:val="16"/>
        </w:rPr>
        <w:t xml:space="preserve">Encryption in transit: TLS 1.2+ everywhere</w:t>
      </w:r>
    </w:p>
    <w:p>
      <w:pPr>
        <w:pStyle w:val="ListParagraph"/>
        <w:numPr>
          <w:ilvl w:val="0"/>
          <w:numId w:val="2"/>
        </w:numPr>
        <w:spacing w:after="45"/>
      </w:pPr>
      <w:r>
        <w:rPr>
          <w:rFonts w:ascii="Calibri" w:cs="Calibri" w:eastAsia="Calibri" w:hAnsi="Calibri"/>
          <w:sz w:val="16"/>
          <w:szCs w:val="16"/>
        </w:rPr>
        <w:t xml:space="preserve">Encryption at rest: AES-256 for PostgreSQL, object storage, backups</w:t>
      </w:r>
    </w:p>
    <w:p>
      <w:pPr>
        <w:pStyle w:val="ListParagraph"/>
        <w:numPr>
          <w:ilvl w:val="0"/>
          <w:numId w:val="2"/>
        </w:numPr>
        <w:spacing w:after="45"/>
      </w:pPr>
      <w:r>
        <w:rPr>
          <w:rFonts w:ascii="Calibri" w:cs="Calibri" w:eastAsia="Calibri" w:hAnsi="Calibri"/>
          <w:sz w:val="16"/>
          <w:szCs w:val="16"/>
        </w:rPr>
        <w:t xml:space="preserve">Field-level protection considerations for highly sensitive attributes</w:t>
      </w:r>
    </w:p>
    <w:p>
      <w:pPr>
        <w:pStyle w:val="ListParagraph"/>
        <w:numPr>
          <w:ilvl w:val="0"/>
          <w:numId w:val="2"/>
        </w:numPr>
        <w:spacing w:after="45"/>
      </w:pPr>
      <w:r>
        <w:rPr>
          <w:rFonts w:ascii="Calibri" w:cs="Calibri" w:eastAsia="Calibri" w:hAnsi="Calibri"/>
          <w:sz w:val="16"/>
          <w:szCs w:val="16"/>
        </w:rPr>
        <w:t xml:space="preserve">No storage of Aadhaar numbers or biometrics</w:t>
      </w:r>
    </w:p>
    <w:p>
      <w:pPr>
        <w:pStyle w:val="ListParagraph"/>
        <w:numPr>
          <w:ilvl w:val="0"/>
          <w:numId w:val="2"/>
        </w:numPr>
        <w:spacing w:after="45"/>
      </w:pPr>
      <w:r>
        <w:rPr>
          <w:rFonts w:ascii="Calibri" w:cs="Calibri" w:eastAsia="Calibri" w:hAnsi="Calibri"/>
          <w:sz w:val="16"/>
          <w:szCs w:val="16"/>
        </w:rPr>
        <w:t xml:space="preserve">Data minimisation in logs and analytics events</w:t>
      </w:r>
    </w:p>
    <w:p>
      <w:pPr>
        <w:pStyle w:val="ListParagraph"/>
        <w:numPr>
          <w:ilvl w:val="0"/>
          <w:numId w:val="2"/>
        </w:numPr>
        <w:spacing w:after="45"/>
      </w:pPr>
      <w:r>
        <w:rPr>
          <w:rFonts w:ascii="Calibri" w:cs="Calibri" w:eastAsia="Calibri" w:hAnsi="Calibri"/>
          <w:sz w:val="16"/>
          <w:szCs w:val="16"/>
        </w:rPr>
        <w:t xml:space="preserve">Secure deletion / anonymisation on account closure requests</w:t>
      </w:r>
    </w:p>
    <w:p>
      <w:pPr>
        <w:pStyle w:val="Heading2"/>
        <w:spacing w:after="100" w:before="220"/>
      </w:pPr>
      <w:r>
        <w:rPr>
          <w:rFonts w:ascii="Calibri" w:cs="Calibri" w:eastAsia="Calibri" w:hAnsi="Calibri"/>
          <w:b/>
          <w:bCs/>
          <w:color w:val="2874A6"/>
          <w:sz w:val="20"/>
          <w:szCs w:val="20"/>
        </w:rPr>
        <w:t xml:space="preserve">5.5 Media &amp; Content Protection</w:t>
      </w:r>
    </w:p>
    <w:p>
      <w:pPr>
        <w:pStyle w:val="ListParagraph"/>
        <w:numPr>
          <w:ilvl w:val="0"/>
          <w:numId w:val="2"/>
        </w:numPr>
        <w:spacing w:after="45"/>
      </w:pPr>
      <w:r>
        <w:rPr>
          <w:rFonts w:ascii="Calibri" w:cs="Calibri" w:eastAsia="Calibri" w:hAnsi="Calibri"/>
          <w:sz w:val="16"/>
          <w:szCs w:val="16"/>
        </w:rPr>
        <w:t xml:space="preserve">HLS with signed URLs for streaming</w:t>
      </w:r>
    </w:p>
    <w:p>
      <w:pPr>
        <w:pStyle w:val="ListParagraph"/>
        <w:numPr>
          <w:ilvl w:val="0"/>
          <w:numId w:val="2"/>
        </w:numPr>
        <w:spacing w:after="45"/>
      </w:pPr>
      <w:r>
        <w:rPr>
          <w:rFonts w:ascii="Calibri" w:cs="Calibri" w:eastAsia="Calibri" w:hAnsi="Calibri"/>
          <w:sz w:val="16"/>
          <w:szCs w:val="16"/>
        </w:rPr>
        <w:t xml:space="preserve">Widevine DRM for offline downloads</w:t>
      </w:r>
    </w:p>
    <w:p>
      <w:pPr>
        <w:pStyle w:val="ListParagraph"/>
        <w:numPr>
          <w:ilvl w:val="0"/>
          <w:numId w:val="2"/>
        </w:numPr>
        <w:spacing w:after="45"/>
      </w:pPr>
      <w:r>
        <w:rPr>
          <w:rFonts w:ascii="Calibri" w:cs="Calibri" w:eastAsia="Calibri" w:hAnsi="Calibri"/>
          <w:sz w:val="16"/>
          <w:szCs w:val="16"/>
        </w:rPr>
        <w:t xml:space="preserve">Dynamic watermarking (user identifier) on downloaded content where feasible</w:t>
      </w:r>
    </w:p>
    <w:p>
      <w:pPr>
        <w:pStyle w:val="ListParagraph"/>
        <w:numPr>
          <w:ilvl w:val="0"/>
          <w:numId w:val="2"/>
        </w:numPr>
        <w:spacing w:after="45"/>
      </w:pPr>
      <w:r>
        <w:rPr>
          <w:rFonts w:ascii="Calibri" w:cs="Calibri" w:eastAsia="Calibri" w:hAnsi="Calibri"/>
          <w:sz w:val="16"/>
          <w:szCs w:val="16"/>
        </w:rPr>
        <w:t xml:space="preserve">Download limits (max 5 videos/day, 480p, 30-day expiry)</w:t>
      </w:r>
    </w:p>
    <w:p>
      <w:pPr>
        <w:pStyle w:val="ListParagraph"/>
        <w:numPr>
          <w:ilvl w:val="0"/>
          <w:numId w:val="2"/>
        </w:numPr>
        <w:spacing w:after="45"/>
      </w:pPr>
      <w:r>
        <w:rPr>
          <w:rFonts w:ascii="Calibri" w:cs="Calibri" w:eastAsia="Calibri" w:hAnsi="Calibri"/>
          <w:sz w:val="16"/>
          <w:szCs w:val="16"/>
        </w:rPr>
        <w:t xml:space="preserve">Server-side enforcement of access rights before generating download tokens</w:t>
      </w:r>
    </w:p>
    <w:p>
      <w:pPr>
        <w:pStyle w:val="Heading2"/>
        <w:spacing w:after="100" w:before="220"/>
      </w:pPr>
      <w:r>
        <w:rPr>
          <w:rFonts w:ascii="Calibri" w:cs="Calibri" w:eastAsia="Calibri" w:hAnsi="Calibri"/>
          <w:b/>
          <w:bCs/>
          <w:color w:val="2874A6"/>
          <w:sz w:val="20"/>
          <w:szCs w:val="20"/>
        </w:rPr>
        <w:t xml:space="preserve">5.6 Infrastructure &amp; Network Security</w:t>
      </w:r>
    </w:p>
    <w:p>
      <w:pPr>
        <w:pStyle w:val="ListParagraph"/>
        <w:numPr>
          <w:ilvl w:val="0"/>
          <w:numId w:val="2"/>
        </w:numPr>
        <w:spacing w:after="45"/>
      </w:pPr>
      <w:r>
        <w:rPr>
          <w:rFonts w:ascii="Calibri" w:cs="Calibri" w:eastAsia="Calibri" w:hAnsi="Calibri"/>
          <w:sz w:val="16"/>
          <w:szCs w:val="16"/>
        </w:rPr>
        <w:t xml:space="preserve">Deployment exclusively on NIC MeghRaj (India data residency)</w:t>
      </w:r>
    </w:p>
    <w:p>
      <w:pPr>
        <w:pStyle w:val="ListParagraph"/>
        <w:numPr>
          <w:ilvl w:val="0"/>
          <w:numId w:val="2"/>
        </w:numPr>
        <w:spacing w:after="45"/>
      </w:pPr>
      <w:r>
        <w:rPr>
          <w:rFonts w:ascii="Calibri" w:cs="Calibri" w:eastAsia="Calibri" w:hAnsi="Calibri"/>
          <w:sz w:val="16"/>
          <w:szCs w:val="16"/>
        </w:rPr>
        <w:t xml:space="preserve">Network segmentation (public / application / data tiers)</w:t>
      </w:r>
    </w:p>
    <w:p>
      <w:pPr>
        <w:pStyle w:val="ListParagraph"/>
        <w:numPr>
          <w:ilvl w:val="0"/>
          <w:numId w:val="2"/>
        </w:numPr>
        <w:spacing w:after="45"/>
      </w:pPr>
      <w:r>
        <w:rPr>
          <w:rFonts w:ascii="Calibri" w:cs="Calibri" w:eastAsia="Calibri" w:hAnsi="Calibri"/>
          <w:sz w:val="16"/>
          <w:szCs w:val="16"/>
        </w:rPr>
        <w:t xml:space="preserve">WAF in front of API Gateway and web portals</w:t>
      </w:r>
    </w:p>
    <w:p>
      <w:pPr>
        <w:pStyle w:val="ListParagraph"/>
        <w:numPr>
          <w:ilvl w:val="0"/>
          <w:numId w:val="2"/>
        </w:numPr>
        <w:spacing w:after="45"/>
      </w:pPr>
      <w:r>
        <w:rPr>
          <w:rFonts w:ascii="Calibri" w:cs="Calibri" w:eastAsia="Calibri" w:hAnsi="Calibri"/>
          <w:sz w:val="16"/>
          <w:szCs w:val="16"/>
        </w:rPr>
        <w:t xml:space="preserve">Private networking for database and internal service communication</w:t>
      </w:r>
    </w:p>
    <w:p>
      <w:pPr>
        <w:pStyle w:val="ListParagraph"/>
        <w:numPr>
          <w:ilvl w:val="0"/>
          <w:numId w:val="2"/>
        </w:numPr>
        <w:spacing w:after="45"/>
      </w:pPr>
      <w:r>
        <w:rPr>
          <w:rFonts w:ascii="Calibri" w:cs="Calibri" w:eastAsia="Calibri" w:hAnsi="Calibri"/>
          <w:sz w:val="16"/>
          <w:szCs w:val="16"/>
        </w:rPr>
        <w:t xml:space="preserve">Regular OS and container image patching</w:t>
      </w:r>
    </w:p>
    <w:p>
      <w:pPr>
        <w:pStyle w:val="ListParagraph"/>
        <w:numPr>
          <w:ilvl w:val="0"/>
          <w:numId w:val="2"/>
        </w:numPr>
        <w:spacing w:after="45"/>
      </w:pPr>
      <w:r>
        <w:rPr>
          <w:rFonts w:ascii="Calibri" w:cs="Calibri" w:eastAsia="Calibri" w:hAnsi="Calibri"/>
          <w:sz w:val="16"/>
          <w:szCs w:val="16"/>
        </w:rPr>
        <w:t xml:space="preserve">Infrastructure as Code with security scanning</w:t>
      </w:r>
    </w:p>
    <w:p>
      <w:pPr>
        <w:pStyle w:val="ListParagraph"/>
        <w:numPr>
          <w:ilvl w:val="0"/>
          <w:numId w:val="2"/>
        </w:numPr>
        <w:spacing w:after="45"/>
      </w:pPr>
      <w:r>
        <w:rPr>
          <w:rFonts w:ascii="Calibri" w:cs="Calibri" w:eastAsia="Calibri" w:hAnsi="Calibri"/>
          <w:sz w:val="16"/>
          <w:szCs w:val="16"/>
        </w:rPr>
        <w:t xml:space="preserve">Least-privilege IAM roles for all services and human operators</w:t>
      </w:r>
    </w:p>
    <w:p>
      <w:pPr>
        <w:pStyle w:val="Heading2"/>
        <w:spacing w:after="100" w:before="220"/>
      </w:pPr>
      <w:r>
        <w:rPr>
          <w:rFonts w:ascii="Calibri" w:cs="Calibri" w:eastAsia="Calibri" w:hAnsi="Calibri"/>
          <w:b/>
          <w:bCs/>
          <w:color w:val="2874A6"/>
          <w:sz w:val="20"/>
          <w:szCs w:val="20"/>
        </w:rPr>
        <w:t xml:space="preserve">5.7 AI-Specific Security</w:t>
      </w:r>
    </w:p>
    <w:p>
      <w:pPr>
        <w:pStyle w:val="ListParagraph"/>
        <w:numPr>
          <w:ilvl w:val="0"/>
          <w:numId w:val="2"/>
        </w:numPr>
        <w:spacing w:after="45"/>
      </w:pPr>
      <w:r>
        <w:rPr>
          <w:rFonts w:ascii="Calibri" w:cs="Calibri" w:eastAsia="Calibri" w:hAnsi="Calibri"/>
          <w:sz w:val="16"/>
          <w:szCs w:val="16"/>
        </w:rPr>
        <w:t xml:space="preserve">Self-hosted models only (no foreign commercial AI API for core features)</w:t>
      </w:r>
    </w:p>
    <w:p>
      <w:pPr>
        <w:pStyle w:val="ListParagraph"/>
        <w:numPr>
          <w:ilvl w:val="0"/>
          <w:numId w:val="2"/>
        </w:numPr>
        <w:spacing w:after="45"/>
      </w:pPr>
      <w:r>
        <w:rPr>
          <w:rFonts w:ascii="Calibri" w:cs="Calibri" w:eastAsia="Calibri" w:hAnsi="Calibri"/>
          <w:sz w:val="16"/>
          <w:szCs w:val="16"/>
        </w:rPr>
        <w:t xml:space="preserve">Input length limits and sanitisation to reduce prompt injection impact</w:t>
      </w:r>
    </w:p>
    <w:p>
      <w:pPr>
        <w:pStyle w:val="ListParagraph"/>
        <w:numPr>
          <w:ilvl w:val="0"/>
          <w:numId w:val="2"/>
        </w:numPr>
        <w:spacing w:after="45"/>
      </w:pPr>
      <w:r>
        <w:rPr>
          <w:rFonts w:ascii="Calibri" w:cs="Calibri" w:eastAsia="Calibri" w:hAnsi="Calibri"/>
          <w:sz w:val="16"/>
          <w:szCs w:val="16"/>
        </w:rPr>
        <w:t xml:space="preserve">System prompt isolation and hardening</w:t>
      </w:r>
    </w:p>
    <w:p>
      <w:pPr>
        <w:pStyle w:val="ListParagraph"/>
        <w:numPr>
          <w:ilvl w:val="0"/>
          <w:numId w:val="2"/>
        </w:numPr>
        <w:spacing w:after="45"/>
      </w:pPr>
      <w:r>
        <w:rPr>
          <w:rFonts w:ascii="Calibri" w:cs="Calibri" w:eastAsia="Calibri" w:hAnsi="Calibri"/>
          <w:sz w:val="16"/>
          <w:szCs w:val="16"/>
        </w:rPr>
        <w:t xml:space="preserve">Output filtering for harmful or off-policy content</w:t>
      </w:r>
    </w:p>
    <w:p>
      <w:pPr>
        <w:pStyle w:val="ListParagraph"/>
        <w:numPr>
          <w:ilvl w:val="0"/>
          <w:numId w:val="2"/>
        </w:numPr>
        <w:spacing w:after="45"/>
      </w:pPr>
      <w:r>
        <w:rPr>
          <w:rFonts w:ascii="Calibri" w:cs="Calibri" w:eastAsia="Calibri" w:hAnsi="Calibri"/>
          <w:sz w:val="16"/>
          <w:szCs w:val="16"/>
        </w:rPr>
        <w:t xml:space="preserve">Rate limiting and cost controls on AI endpoints</w:t>
      </w:r>
    </w:p>
    <w:p>
      <w:pPr>
        <w:pStyle w:val="ListParagraph"/>
        <w:numPr>
          <w:ilvl w:val="0"/>
          <w:numId w:val="2"/>
        </w:numPr>
        <w:spacing w:after="45"/>
      </w:pPr>
      <w:r>
        <w:rPr>
          <w:rFonts w:ascii="Calibri" w:cs="Calibri" w:eastAsia="Calibri" w:hAnsi="Calibri"/>
          <w:sz w:val="16"/>
          <w:szCs w:val="16"/>
        </w:rPr>
        <w:t xml:space="preserve">Logging of AI requests/responses for abuse monitoring (with privacy controls)</w:t>
      </w:r>
    </w:p>
    <w:p>
      <w:pPr>
        <w:pStyle w:val="Heading1"/>
        <w:spacing w:after="150" w:before="300"/>
      </w:pPr>
      <w:r>
        <w:rPr>
          <w:rFonts w:ascii="Calibri" w:cs="Calibri" w:eastAsia="Calibri" w:hAnsi="Calibri"/>
          <w:b/>
          <w:bCs/>
          <w:color w:val="1B4F72"/>
          <w:sz w:val="26"/>
          <w:szCs w:val="26"/>
        </w:rPr>
        <w:t xml:space="preserve">6. COMPLIANCE MAPPING</w:t>
      </w:r>
    </w:p>
    <w:p>
      <w:pPr>
        <w:pStyle w:val="Heading2"/>
        <w:spacing w:after="100" w:before="220"/>
      </w:pPr>
      <w:r>
        <w:rPr>
          <w:rFonts w:ascii="Calibri" w:cs="Calibri" w:eastAsia="Calibri" w:hAnsi="Calibri"/>
          <w:b/>
          <w:bCs/>
          <w:color w:val="2874A6"/>
          <w:sz w:val="20"/>
          <w:szCs w:val="20"/>
        </w:rPr>
        <w:t xml:space="preserve">6.1 Digital Personal Data Protection Act, 2023</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500"/>
        <w:gridCol w:w="6900"/>
      </w:tblGrid>
      <w:tr>
        <w:tc>
          <w:tcPr>
            <w:tcW w:type="dxa" w:w="35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DPDP Requirement</w:t>
            </w:r>
          </w:p>
        </w:tc>
        <w:tc>
          <w:tcPr>
            <w:tcW w:type="dxa" w:w="69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Platform Control</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Consent for processing</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Clear consent at registration; purpose limitation; parental consent for minors</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Data minimisation</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Only necessary fields collected; Aadhaar not stored</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Purpose limitation</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Data used only for education platform purposes stated to user</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Right to correction / erasure</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In-app profile edit; account deletion request workflow</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Data principal rights</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Data export capability; transparent privacy notice</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Security safeguards</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Encryption, access control, monitoring, incident response</w:t>
            </w:r>
          </w:p>
        </w:tc>
      </w:tr>
      <w:tr>
        <w:tc>
          <w:tcPr>
            <w:tcW w:type="dxa" w:w="35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Cross-border transfer</w:t>
            </w:r>
          </w:p>
        </w:tc>
        <w:tc>
          <w:tcPr>
            <w:tcW w:type="dxa" w:w="69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No transfer — all data resides on NIC MeghRaj (India)</w:t>
            </w:r>
          </w:p>
        </w:tc>
      </w:tr>
    </w:tbl>
    <w:p>
      <w:pPr>
        <w:pStyle w:val="Heading2"/>
        <w:spacing w:after="100" w:before="220"/>
      </w:pPr>
      <w:r>
        <w:rPr>
          <w:rFonts w:ascii="Calibri" w:cs="Calibri" w:eastAsia="Calibri" w:hAnsi="Calibri"/>
          <w:b/>
          <w:bCs/>
          <w:color w:val="2874A6"/>
          <w:sz w:val="20"/>
          <w:szCs w:val="20"/>
        </w:rPr>
        <w:t xml:space="preserve">6.2 Other Compliance Targets</w:t>
      </w:r>
    </w:p>
    <w:p>
      <w:pPr>
        <w:pStyle w:val="ListParagraph"/>
        <w:numPr>
          <w:ilvl w:val="0"/>
          <w:numId w:val="2"/>
        </w:numPr>
        <w:spacing w:after="45"/>
      </w:pPr>
      <w:r>
        <w:rPr>
          <w:rFonts w:ascii="Calibri" w:cs="Calibri" w:eastAsia="Calibri" w:hAnsi="Calibri"/>
          <w:sz w:val="16"/>
          <w:szCs w:val="16"/>
        </w:rPr>
        <w:t xml:space="preserve">CERT-In: Quarterly VAPT by empanelled agency; incident reporting readiness</w:t>
      </w:r>
    </w:p>
    <w:p>
      <w:pPr>
        <w:pStyle w:val="ListParagraph"/>
        <w:numPr>
          <w:ilvl w:val="0"/>
          <w:numId w:val="2"/>
        </w:numPr>
        <w:spacing w:after="45"/>
      </w:pPr>
      <w:r>
        <w:rPr>
          <w:rFonts w:ascii="Calibri" w:cs="Calibri" w:eastAsia="Calibri" w:hAnsi="Calibri"/>
          <w:sz w:val="16"/>
          <w:szCs w:val="16"/>
        </w:rPr>
        <w:t xml:space="preserve">OWASP Top 10 and ASVS: Addressed via secure coding standards and testing</w:t>
      </w:r>
    </w:p>
    <w:p>
      <w:pPr>
        <w:pStyle w:val="ListParagraph"/>
        <w:numPr>
          <w:ilvl w:val="0"/>
          <w:numId w:val="2"/>
        </w:numPr>
        <w:spacing w:after="45"/>
      </w:pPr>
      <w:r>
        <w:rPr>
          <w:rFonts w:ascii="Calibri" w:cs="Calibri" w:eastAsia="Calibri" w:hAnsi="Calibri"/>
          <w:sz w:val="16"/>
          <w:szCs w:val="16"/>
        </w:rPr>
        <w:t xml:space="preserve">GIGW (Guidelines for Indian Government Websites): Accessibility and security baseline</w:t>
      </w:r>
    </w:p>
    <w:p>
      <w:pPr>
        <w:pStyle w:val="ListParagraph"/>
        <w:numPr>
          <w:ilvl w:val="0"/>
          <w:numId w:val="2"/>
        </w:numPr>
        <w:spacing w:after="45"/>
      </w:pPr>
      <w:r>
        <w:rPr>
          <w:rFonts w:ascii="Calibri" w:cs="Calibri" w:eastAsia="Calibri" w:hAnsi="Calibri"/>
          <w:sz w:val="16"/>
          <w:szCs w:val="16"/>
        </w:rPr>
        <w:t xml:space="preserve">NIC Cloud Security Policies: Full adherence for hosting</w:t>
      </w:r>
    </w:p>
    <w:p>
      <w:pPr>
        <w:pStyle w:val="Heading1"/>
        <w:spacing w:after="150" w:before="300"/>
      </w:pPr>
      <w:r>
        <w:rPr>
          <w:rFonts w:ascii="Calibri" w:cs="Calibri" w:eastAsia="Calibri" w:hAnsi="Calibri"/>
          <w:b/>
          <w:bCs/>
          <w:color w:val="1B4F72"/>
          <w:sz w:val="26"/>
          <w:szCs w:val="26"/>
        </w:rPr>
        <w:t xml:space="preserve">7. SECURITY TESTING REQUIREMENTS</w:t>
      </w:r>
    </w:p>
    <w:p>
      <w:pPr>
        <w:pStyle w:val="ListParagraph"/>
        <w:numPr>
          <w:ilvl w:val="0"/>
          <w:numId w:val="2"/>
        </w:numPr>
        <w:spacing w:after="45"/>
      </w:pPr>
      <w:r>
        <w:rPr>
          <w:rFonts w:ascii="Calibri" w:cs="Calibri" w:eastAsia="Calibri" w:hAnsi="Calibri"/>
          <w:sz w:val="16"/>
          <w:szCs w:val="16"/>
        </w:rPr>
        <w:t xml:space="preserve">SAST (Static Application Security Testing) on every pull request</w:t>
      </w:r>
    </w:p>
    <w:p>
      <w:pPr>
        <w:pStyle w:val="ListParagraph"/>
        <w:numPr>
          <w:ilvl w:val="0"/>
          <w:numId w:val="2"/>
        </w:numPr>
        <w:spacing w:after="45"/>
      </w:pPr>
      <w:r>
        <w:rPr>
          <w:rFonts w:ascii="Calibri" w:cs="Calibri" w:eastAsia="Calibri" w:hAnsi="Calibri"/>
          <w:sz w:val="16"/>
          <w:szCs w:val="16"/>
        </w:rPr>
        <w:t xml:space="preserve">Dependency / SCA scanning on every build</w:t>
      </w:r>
    </w:p>
    <w:p>
      <w:pPr>
        <w:pStyle w:val="ListParagraph"/>
        <w:numPr>
          <w:ilvl w:val="0"/>
          <w:numId w:val="2"/>
        </w:numPr>
        <w:spacing w:after="45"/>
      </w:pPr>
      <w:r>
        <w:rPr>
          <w:rFonts w:ascii="Calibri" w:cs="Calibri" w:eastAsia="Calibri" w:hAnsi="Calibri"/>
          <w:sz w:val="16"/>
          <w:szCs w:val="16"/>
        </w:rPr>
        <w:t xml:space="preserve">DAST (Dynamic testing) against Staging / Pre-Production</w:t>
      </w:r>
    </w:p>
    <w:p>
      <w:pPr>
        <w:pStyle w:val="ListParagraph"/>
        <w:numPr>
          <w:ilvl w:val="0"/>
          <w:numId w:val="2"/>
        </w:numPr>
        <w:spacing w:after="45"/>
      </w:pPr>
      <w:r>
        <w:rPr>
          <w:rFonts w:ascii="Calibri" w:cs="Calibri" w:eastAsia="Calibri" w:hAnsi="Calibri"/>
          <w:sz w:val="16"/>
          <w:szCs w:val="16"/>
        </w:rPr>
        <w:t xml:space="preserve">Container image scanning before deployment</w:t>
      </w:r>
    </w:p>
    <w:p>
      <w:pPr>
        <w:pStyle w:val="ListParagraph"/>
        <w:numPr>
          <w:ilvl w:val="0"/>
          <w:numId w:val="2"/>
        </w:numPr>
        <w:spacing w:after="45"/>
      </w:pPr>
      <w:r>
        <w:rPr>
          <w:rFonts w:ascii="Calibri" w:cs="Calibri" w:eastAsia="Calibri" w:hAnsi="Calibri"/>
          <w:sz w:val="16"/>
          <w:szCs w:val="16"/>
        </w:rPr>
        <w:t xml:space="preserve">Infrastructure configuration scanning (CIS benchmarks where applicable)</w:t>
      </w:r>
    </w:p>
    <w:p>
      <w:pPr>
        <w:pStyle w:val="ListParagraph"/>
        <w:numPr>
          <w:ilvl w:val="0"/>
          <w:numId w:val="2"/>
        </w:numPr>
        <w:spacing w:after="45"/>
      </w:pPr>
      <w:r>
        <w:rPr>
          <w:rFonts w:ascii="Calibri" w:cs="Calibri" w:eastAsia="Calibri" w:hAnsi="Calibri"/>
          <w:sz w:val="16"/>
          <w:szCs w:val="16"/>
        </w:rPr>
        <w:t xml:space="preserve">Quarterly VAPT by CERT-In empanelled agency — Critical and High findings must be remediated before go-live and major releases</w:t>
      </w:r>
    </w:p>
    <w:p>
      <w:pPr>
        <w:pStyle w:val="ListParagraph"/>
        <w:numPr>
          <w:ilvl w:val="0"/>
          <w:numId w:val="2"/>
        </w:numPr>
        <w:spacing w:after="45"/>
      </w:pPr>
      <w:r>
        <w:rPr>
          <w:rFonts w:ascii="Calibri" w:cs="Calibri" w:eastAsia="Calibri" w:hAnsi="Calibri"/>
          <w:sz w:val="16"/>
          <w:szCs w:val="16"/>
        </w:rPr>
        <w:t xml:space="preserve">Annual comprehensive security audit</w:t>
      </w:r>
    </w:p>
    <w:p>
      <w:pPr>
        <w:pStyle w:val="ListParagraph"/>
        <w:numPr>
          <w:ilvl w:val="0"/>
          <w:numId w:val="2"/>
        </w:numPr>
        <w:spacing w:after="45"/>
      </w:pPr>
      <w:r>
        <w:rPr>
          <w:rFonts w:ascii="Calibri" w:cs="Calibri" w:eastAsia="Calibri" w:hAnsi="Calibri"/>
          <w:sz w:val="16"/>
          <w:szCs w:val="16"/>
        </w:rPr>
        <w:t xml:space="preserve">Periodic red-team / adversarial testing of authentication and privilege boundaries (recommended)</w:t>
      </w:r>
    </w:p>
    <w:p>
      <w:pPr>
        <w:pStyle w:val="ListParagraph"/>
        <w:numPr>
          <w:ilvl w:val="0"/>
          <w:numId w:val="2"/>
        </w:numPr>
        <w:spacing w:after="45"/>
      </w:pPr>
      <w:r>
        <w:rPr>
          <w:rFonts w:ascii="Calibri" w:cs="Calibri" w:eastAsia="Calibri" w:hAnsi="Calibri"/>
          <w:sz w:val="16"/>
          <w:szCs w:val="16"/>
        </w:rPr>
        <w:t xml:space="preserve">AI-specific testing: prompt injection, data leakage via model outputs</w:t>
      </w:r>
    </w:p>
    <w:p>
      <w:pPr>
        <w:pStyle w:val="Heading1"/>
        <w:spacing w:after="150" w:before="300"/>
      </w:pPr>
      <w:r>
        <w:rPr>
          <w:rFonts w:ascii="Calibri" w:cs="Calibri" w:eastAsia="Calibri" w:hAnsi="Calibri"/>
          <w:b/>
          <w:bCs/>
          <w:color w:val="1B4F72"/>
          <w:sz w:val="26"/>
          <w:szCs w:val="26"/>
        </w:rPr>
        <w:t xml:space="preserve">8. SECURITY MONITORING &amp; INCIDENT RESPONSE</w:t>
      </w:r>
    </w:p>
    <w:p>
      <w:pPr>
        <w:pStyle w:val="Heading2"/>
        <w:spacing w:after="100" w:before="220"/>
      </w:pPr>
      <w:r>
        <w:rPr>
          <w:rFonts w:ascii="Calibri" w:cs="Calibri" w:eastAsia="Calibri" w:hAnsi="Calibri"/>
          <w:b/>
          <w:bCs/>
          <w:color w:val="2874A6"/>
          <w:sz w:val="20"/>
          <w:szCs w:val="20"/>
        </w:rPr>
        <w:t xml:space="preserve">8.1 Detection Capabilities</w:t>
      </w:r>
    </w:p>
    <w:p>
      <w:pPr>
        <w:pStyle w:val="ListParagraph"/>
        <w:numPr>
          <w:ilvl w:val="0"/>
          <w:numId w:val="2"/>
        </w:numPr>
        <w:spacing w:after="45"/>
      </w:pPr>
      <w:r>
        <w:rPr>
          <w:rFonts w:ascii="Calibri" w:cs="Calibri" w:eastAsia="Calibri" w:hAnsi="Calibri"/>
          <w:sz w:val="16"/>
          <w:szCs w:val="16"/>
        </w:rPr>
        <w:t xml:space="preserve">Failed login and OTP attempt monitoring with anomaly thresholds</w:t>
      </w:r>
    </w:p>
    <w:p>
      <w:pPr>
        <w:pStyle w:val="ListParagraph"/>
        <w:numPr>
          <w:ilvl w:val="0"/>
          <w:numId w:val="2"/>
        </w:numPr>
        <w:spacing w:after="45"/>
      </w:pPr>
      <w:r>
        <w:rPr>
          <w:rFonts w:ascii="Calibri" w:cs="Calibri" w:eastAsia="Calibri" w:hAnsi="Calibri"/>
          <w:sz w:val="16"/>
          <w:szCs w:val="16"/>
        </w:rPr>
        <w:t xml:space="preserve">Rate-limit and WAF alert integration</w:t>
      </w:r>
    </w:p>
    <w:p>
      <w:pPr>
        <w:pStyle w:val="ListParagraph"/>
        <w:numPr>
          <w:ilvl w:val="0"/>
          <w:numId w:val="2"/>
        </w:numPr>
        <w:spacing w:after="45"/>
      </w:pPr>
      <w:r>
        <w:rPr>
          <w:rFonts w:ascii="Calibri" w:cs="Calibri" w:eastAsia="Calibri" w:hAnsi="Calibri"/>
          <w:sz w:val="16"/>
          <w:szCs w:val="16"/>
        </w:rPr>
        <w:t xml:space="preserve">Privileged action audit log streaming and alerting</w:t>
      </w:r>
    </w:p>
    <w:p>
      <w:pPr>
        <w:pStyle w:val="ListParagraph"/>
        <w:numPr>
          <w:ilvl w:val="0"/>
          <w:numId w:val="2"/>
        </w:numPr>
        <w:spacing w:after="45"/>
      </w:pPr>
      <w:r>
        <w:rPr>
          <w:rFonts w:ascii="Calibri" w:cs="Calibri" w:eastAsia="Calibri" w:hAnsi="Calibri"/>
          <w:sz w:val="16"/>
          <w:szCs w:val="16"/>
        </w:rPr>
        <w:t xml:space="preserve">Unusual data access patterns (e.g., bulk export attempts)</w:t>
      </w:r>
    </w:p>
    <w:p>
      <w:pPr>
        <w:pStyle w:val="ListParagraph"/>
        <w:numPr>
          <w:ilvl w:val="0"/>
          <w:numId w:val="2"/>
        </w:numPr>
        <w:spacing w:after="45"/>
      </w:pPr>
      <w:r>
        <w:rPr>
          <w:rFonts w:ascii="Calibri" w:cs="Calibri" w:eastAsia="Calibri" w:hAnsi="Calibri"/>
          <w:sz w:val="16"/>
          <w:szCs w:val="16"/>
        </w:rPr>
        <w:t xml:space="preserve">Integrity monitoring on critical configuration and binaries where feasible</w:t>
      </w:r>
    </w:p>
    <w:p>
      <w:pPr>
        <w:pStyle w:val="Heading2"/>
        <w:spacing w:after="100" w:before="220"/>
      </w:pPr>
      <w:r>
        <w:rPr>
          <w:rFonts w:ascii="Calibri" w:cs="Calibri" w:eastAsia="Calibri" w:hAnsi="Calibri"/>
          <w:b/>
          <w:bCs/>
          <w:color w:val="2874A6"/>
          <w:sz w:val="20"/>
          <w:szCs w:val="20"/>
        </w:rPr>
        <w:t xml:space="preserve">8.2 Incident Response Requirements</w:t>
      </w:r>
    </w:p>
    <w:p>
      <w:pPr>
        <w:pStyle w:val="ListParagraph"/>
        <w:numPr>
          <w:ilvl w:val="0"/>
          <w:numId w:val="2"/>
        </w:numPr>
        <w:spacing w:after="45"/>
      </w:pPr>
      <w:r>
        <w:rPr>
          <w:rFonts w:ascii="Calibri" w:cs="Calibri" w:eastAsia="Calibri" w:hAnsi="Calibri"/>
          <w:sz w:val="16"/>
          <w:szCs w:val="16"/>
        </w:rPr>
        <w:t xml:space="preserve">Documented Incident Response Plan with severity definitions (SEV-1 to SEV-4)</w:t>
      </w:r>
    </w:p>
    <w:p>
      <w:pPr>
        <w:pStyle w:val="ListParagraph"/>
        <w:numPr>
          <w:ilvl w:val="0"/>
          <w:numId w:val="2"/>
        </w:numPr>
        <w:spacing w:after="45"/>
      </w:pPr>
      <w:r>
        <w:rPr>
          <w:rFonts w:ascii="Calibri" w:cs="Calibri" w:eastAsia="Calibri" w:hAnsi="Calibri"/>
          <w:sz w:val="16"/>
          <w:szCs w:val="16"/>
        </w:rPr>
        <w:t xml:space="preserve">Defined roles: Incident Commander, Communications, Technical Leads</w:t>
      </w:r>
    </w:p>
    <w:p>
      <w:pPr>
        <w:pStyle w:val="ListParagraph"/>
        <w:numPr>
          <w:ilvl w:val="0"/>
          <w:numId w:val="2"/>
        </w:numPr>
        <w:spacing w:after="45"/>
      </w:pPr>
      <w:r>
        <w:rPr>
          <w:rFonts w:ascii="Calibri" w:cs="Calibri" w:eastAsia="Calibri" w:hAnsi="Calibri"/>
          <w:sz w:val="16"/>
          <w:szCs w:val="16"/>
        </w:rPr>
        <w:t xml:space="preserve">Escalation matrix including Ministry and NIC contacts for SEV-1</w:t>
      </w:r>
    </w:p>
    <w:p>
      <w:pPr>
        <w:pStyle w:val="ListParagraph"/>
        <w:numPr>
          <w:ilvl w:val="0"/>
          <w:numId w:val="2"/>
        </w:numPr>
        <w:spacing w:after="45"/>
      </w:pPr>
      <w:r>
        <w:rPr>
          <w:rFonts w:ascii="Calibri" w:cs="Calibri" w:eastAsia="Calibri" w:hAnsi="Calibri"/>
          <w:sz w:val="16"/>
          <w:szCs w:val="16"/>
        </w:rPr>
        <w:t xml:space="preserve">Playbooks for: account takeover wave, data exposure, DDoS, ransomware-style events</w:t>
      </w:r>
    </w:p>
    <w:p>
      <w:pPr>
        <w:pStyle w:val="ListParagraph"/>
        <w:numPr>
          <w:ilvl w:val="0"/>
          <w:numId w:val="2"/>
        </w:numPr>
        <w:spacing w:after="45"/>
      </w:pPr>
      <w:r>
        <w:rPr>
          <w:rFonts w:ascii="Calibri" w:cs="Calibri" w:eastAsia="Calibri" w:hAnsi="Calibri"/>
          <w:sz w:val="16"/>
          <w:szCs w:val="16"/>
        </w:rPr>
        <w:t xml:space="preserve">Post-incident review mandatory for SEV-1 and SEV-2</w:t>
      </w:r>
    </w:p>
    <w:p>
      <w:pPr>
        <w:pStyle w:val="ListParagraph"/>
        <w:numPr>
          <w:ilvl w:val="0"/>
          <w:numId w:val="2"/>
        </w:numPr>
        <w:spacing w:after="45"/>
      </w:pPr>
      <w:r>
        <w:rPr>
          <w:rFonts w:ascii="Calibri" w:cs="Calibri" w:eastAsia="Calibri" w:hAnsi="Calibri"/>
          <w:sz w:val="16"/>
          <w:szCs w:val="16"/>
        </w:rPr>
        <w:t xml:space="preserve">CERT-In reporting obligations understood and operationalised</w:t>
      </w:r>
    </w:p>
    <w:p>
      <w:pPr>
        <w:pStyle w:val="Heading2"/>
        <w:spacing w:after="100" w:before="220"/>
      </w:pPr>
      <w:r>
        <w:rPr>
          <w:rFonts w:ascii="Calibri" w:cs="Calibri" w:eastAsia="Calibri" w:hAnsi="Calibri"/>
          <w:b/>
          <w:bCs/>
          <w:color w:val="2874A6"/>
          <w:sz w:val="20"/>
          <w:szCs w:val="20"/>
        </w:rPr>
        <w:t xml:space="preserve">8.3 Logging Requirements</w:t>
      </w:r>
    </w:p>
    <w:p>
      <w:pPr>
        <w:pStyle w:val="ListParagraph"/>
        <w:numPr>
          <w:ilvl w:val="0"/>
          <w:numId w:val="2"/>
        </w:numPr>
        <w:spacing w:after="45"/>
      </w:pPr>
      <w:r>
        <w:rPr>
          <w:rFonts w:ascii="Calibri" w:cs="Calibri" w:eastAsia="Calibri" w:hAnsi="Calibri"/>
          <w:sz w:val="16"/>
          <w:szCs w:val="16"/>
        </w:rPr>
        <w:t xml:space="preserve">Immutable audit logs for authentication, authorisation failures, admin actions, data subject requests</w:t>
      </w:r>
    </w:p>
    <w:p>
      <w:pPr>
        <w:pStyle w:val="ListParagraph"/>
        <w:numPr>
          <w:ilvl w:val="0"/>
          <w:numId w:val="2"/>
        </w:numPr>
        <w:spacing w:after="45"/>
      </w:pPr>
      <w:r>
        <w:rPr>
          <w:rFonts w:ascii="Calibri" w:cs="Calibri" w:eastAsia="Calibri" w:hAnsi="Calibri"/>
          <w:sz w:val="16"/>
          <w:szCs w:val="16"/>
        </w:rPr>
        <w:t xml:space="preserve">Minimum 90-day retention (longer if mandated)</w:t>
      </w:r>
    </w:p>
    <w:p>
      <w:pPr>
        <w:pStyle w:val="ListParagraph"/>
        <w:numPr>
          <w:ilvl w:val="0"/>
          <w:numId w:val="2"/>
        </w:numPr>
        <w:spacing w:after="45"/>
      </w:pPr>
      <w:r>
        <w:rPr>
          <w:rFonts w:ascii="Calibri" w:cs="Calibri" w:eastAsia="Calibri" w:hAnsi="Calibri"/>
          <w:sz w:val="16"/>
          <w:szCs w:val="16"/>
        </w:rPr>
        <w:t xml:space="preserve">Logs accessible to authorised NIC / Ministry personnel on request</w:t>
      </w:r>
    </w:p>
    <w:p>
      <w:pPr>
        <w:pStyle w:val="ListParagraph"/>
        <w:numPr>
          <w:ilvl w:val="0"/>
          <w:numId w:val="2"/>
        </w:numPr>
        <w:spacing w:after="45"/>
      </w:pPr>
      <w:r>
        <w:rPr>
          <w:rFonts w:ascii="Calibri" w:cs="Calibri" w:eastAsia="Calibri" w:hAnsi="Calibri"/>
          <w:sz w:val="16"/>
          <w:szCs w:val="16"/>
        </w:rPr>
        <w:t xml:space="preserve">No sensitive personal data in application debug logs</w:t>
      </w:r>
    </w:p>
    <w:p>
      <w:pPr>
        <w:pStyle w:val="Heading1"/>
        <w:spacing w:after="150" w:before="300"/>
      </w:pPr>
      <w:r>
        <w:rPr>
          <w:rFonts w:ascii="Calibri" w:cs="Calibri" w:eastAsia="Calibri" w:hAnsi="Calibri"/>
          <w:b/>
          <w:bCs/>
          <w:color w:val="1B4F72"/>
          <w:sz w:val="26"/>
          <w:szCs w:val="26"/>
        </w:rPr>
        <w:t xml:space="preserve">9. SECURITY IMPLEMENTATION ROADMAP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4300"/>
      </w:tblGrid>
      <w:tr>
        <w:tc>
          <w:tcPr>
            <w:tcW w:type="dxa" w:w="18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Phase</w:t>
            </w:r>
          </w:p>
        </w:tc>
        <w:tc>
          <w:tcPr>
            <w:tcW w:type="dxa" w:w="43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Security Focus</w:t>
            </w:r>
          </w:p>
        </w:tc>
        <w:tc>
          <w:tcPr>
            <w:tcW w:type="dxa" w:w="43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Key Deliverables</w:t>
            </w:r>
          </w:p>
        </w:tc>
      </w:tr>
      <w:tr>
        <w:tc>
          <w:tcPr>
            <w:tcW w:type="dxa" w:w="18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Phase 1 (MVP)</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Core auth, encryption, basic WAF, rate limiting, audit logging, VAPT before launch</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Secure registration/login, TLS everywhere, secrets management, initial VAPT clean report</w:t>
            </w:r>
          </w:p>
        </w:tc>
      </w:tr>
      <w:tr>
        <w:tc>
          <w:tcPr>
            <w:tcW w:type="dxa" w:w="18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Phase 2</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Advanced rate limiting, DRM, enhanced monitoring, role refinement</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Offline video protection, security dashboards, expanded RBAC</w:t>
            </w:r>
          </w:p>
        </w:tc>
      </w:tr>
      <w:tr>
        <w:tc>
          <w:tcPr>
            <w:tcW w:type="dxa" w:w="18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Phase 3+</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Mature detection, red teaming, continuous compliance automation</w:t>
            </w:r>
          </w:p>
        </w:tc>
        <w:tc>
          <w:tcPr>
            <w:tcW w:type="dxa" w:w="43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SOAR-like playbooks, continuous control monitoring, advanced AI security</w:t>
            </w:r>
          </w:p>
        </w:tc>
      </w:tr>
    </w:tbl>
    <w:p>
      <w:pPr>
        <w:pStyle w:val="Heading1"/>
        <w:spacing w:after="150" w:before="300"/>
      </w:pPr>
      <w:r>
        <w:rPr>
          <w:rFonts w:ascii="Calibri" w:cs="Calibri" w:eastAsia="Calibri" w:hAnsi="Calibri"/>
          <w:b/>
          <w:bCs/>
          <w:color w:val="1B4F72"/>
          <w:sz w:val="26"/>
          <w:szCs w:val="26"/>
        </w:rPr>
        <w:t xml:space="preserve">10. RESIDUAL RISKS &amp; ACCEPTANCE</w:t>
      </w:r>
    </w:p>
    <w:p>
      <w:pPr>
        <w:spacing w:after="90"/>
      </w:pPr>
      <w:r>
        <w:rPr>
          <w:rFonts w:ascii="Calibri" w:cs="Calibri" w:eastAsia="Calibri" w:hAnsi="Calibri"/>
          <w:sz w:val="17"/>
          <w:szCs w:val="17"/>
        </w:rPr>
        <w:t xml:space="preserve">Even with the controls above, certain residual risks remain and must be consciously accepted or further mitigated:</w:t>
      </w:r>
    </w:p>
    <w:p>
      <w:pPr>
        <w:pStyle w:val="ListParagraph"/>
        <w:numPr>
          <w:ilvl w:val="0"/>
          <w:numId w:val="2"/>
        </w:numPr>
        <w:spacing w:after="45"/>
      </w:pPr>
      <w:r>
        <w:rPr>
          <w:rFonts w:ascii="Calibri" w:cs="Calibri" w:eastAsia="Calibri" w:hAnsi="Calibri"/>
          <w:sz w:val="16"/>
          <w:szCs w:val="16"/>
        </w:rPr>
        <w:t xml:space="preserve">SIM-swap / mobile number takeover cannot be fully eliminated; mitigated by optional step-up verification and session anomaly detection.</w:t>
      </w:r>
    </w:p>
    <w:p>
      <w:pPr>
        <w:pStyle w:val="ListParagraph"/>
        <w:numPr>
          <w:ilvl w:val="0"/>
          <w:numId w:val="2"/>
        </w:numPr>
        <w:spacing w:after="45"/>
      </w:pPr>
      <w:r>
        <w:rPr>
          <w:rFonts w:ascii="Calibri" w:cs="Calibri" w:eastAsia="Calibri" w:hAnsi="Calibri"/>
          <w:sz w:val="16"/>
          <w:szCs w:val="16"/>
        </w:rPr>
        <w:t xml:space="preserve">Sophisticated nation-state level attackers may exceed current defensive capability; platform relies on NIC infrastructure hardening and national cyber capabilities.</w:t>
      </w:r>
    </w:p>
    <w:p>
      <w:pPr>
        <w:pStyle w:val="ListParagraph"/>
        <w:numPr>
          <w:ilvl w:val="0"/>
          <w:numId w:val="2"/>
        </w:numPr>
        <w:spacing w:after="45"/>
      </w:pPr>
      <w:r>
        <w:rPr>
          <w:rFonts w:ascii="Calibri" w:cs="Calibri" w:eastAsia="Calibri" w:hAnsi="Calibri"/>
          <w:sz w:val="16"/>
          <w:szCs w:val="16"/>
        </w:rPr>
        <w:t xml:space="preserve">Insider threat (malicious or negligent admin/teacher) is reduced by least privilege, logging, and dual control but not eliminated.</w:t>
      </w:r>
    </w:p>
    <w:p>
      <w:pPr>
        <w:pStyle w:val="ListParagraph"/>
        <w:numPr>
          <w:ilvl w:val="0"/>
          <w:numId w:val="2"/>
        </w:numPr>
        <w:spacing w:after="45"/>
      </w:pPr>
      <w:r>
        <w:rPr>
          <w:rFonts w:ascii="Calibri" w:cs="Calibri" w:eastAsia="Calibri" w:hAnsi="Calibri"/>
          <w:sz w:val="16"/>
          <w:szCs w:val="16"/>
        </w:rPr>
        <w:t xml:space="preserve">Zero-day vulnerabilities in dependencies or infrastructure will occasionally appear; mitigated by rapid patching processes and defence-in-depth.</w:t>
      </w:r>
    </w:p>
    <w:p>
      <w:pPr>
        <w:spacing w:after="90"/>
      </w:pPr>
      <w:r>
        <w:rPr>
          <w:rFonts w:ascii="Calibri" w:cs="Calibri" w:eastAsia="Calibri" w:hAnsi="Calibri"/>
          <w:sz w:val="17"/>
          <w:szCs w:val="17"/>
        </w:rPr>
        <w:t xml:space="preserve">Residual risks should be reviewed periodically by the Security Architect and accepted (or further mitigated) by the project governance body.</w:t>
      </w:r>
    </w:p>
    <w:p>
      <w:pPr>
        <w:pStyle w:val="Heading1"/>
        <w:spacing w:after="150" w:before="300"/>
      </w:pPr>
      <w:r>
        <w:rPr>
          <w:rFonts w:ascii="Calibri" w:cs="Calibri" w:eastAsia="Calibri" w:hAnsi="Calibri"/>
          <w:b/>
          <w:bCs/>
          <w:color w:val="1B4F72"/>
          <w:sz w:val="26"/>
          <w:szCs w:val="26"/>
        </w:rPr>
        <w:t xml:space="preserve">11. APPENDIX</w:t>
      </w:r>
    </w:p>
    <w:p>
      <w:pPr>
        <w:pStyle w:val="Heading2"/>
        <w:spacing w:after="100" w:before="220"/>
      </w:pPr>
      <w:r>
        <w:rPr>
          <w:rFonts w:ascii="Calibri" w:cs="Calibri" w:eastAsia="Calibri" w:hAnsi="Calibri"/>
          <w:b/>
          <w:bCs/>
          <w:color w:val="2874A6"/>
          <w:sz w:val="20"/>
          <w:szCs w:val="20"/>
        </w:rPr>
        <w:t xml:space="preserve">11.1 Glossary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8200"/>
      </w:tblGrid>
      <w:tr>
        <w:tc>
          <w:tcPr>
            <w:tcW w:type="dxa" w:w="2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Term</w:t>
            </w:r>
          </w:p>
        </w:tc>
        <w:tc>
          <w:tcPr>
            <w:tcW w:type="dxa" w:w="8200"/>
            <w:tcBorders>
              <w:top w:val="single" w:color="1B4F72" w:sz="4"/>
              <w:left w:val="single" w:color="1B4F72" w:sz="4"/>
              <w:bottom w:val="single" w:color="1B4F72" w:sz="4"/>
              <w:right w:val="single" w:color="1B4F72" w:sz="4"/>
            </w:tcBorders>
            <w:shd w:fill="1B4F72" w:val="clear"/>
            <w:tcMar>
              <w:top w:type="dxa" w:w="50"/>
              <w:left w:type="dxa" w:w="55"/>
              <w:bottom w:type="dxa" w:w="50"/>
              <w:right w:type="dxa" w:w="55"/>
            </w:tcMar>
            <w:vAlign w:val="center"/>
          </w:tcPr>
          <w:p>
            <w:pPr>
              <w:jc w:val="center"/>
            </w:pPr>
            <w:r>
              <w:rPr>
                <w:rFonts w:ascii="Calibri" w:cs="Calibri" w:eastAsia="Calibri" w:hAnsi="Calibri"/>
                <w:b/>
                <w:bCs/>
                <w:color w:val="FFFFFF"/>
                <w:sz w:val="14"/>
                <w:szCs w:val="14"/>
              </w:rPr>
              <w:t xml:space="preserve">Definition</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STRIDE</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Spoofing, Tampering, Repudiation, Information Disclosure, Denial of Service, Elevation of Privilege</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VAPT</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Vulnerability Assessment and Penetration Testing</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DPDP</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Digital Personal Data Protection Act, 2023</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RBAC</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Role-Based Access Control</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IDOR</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Insecure Direct Object Reference</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WAF</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Web Application Firewall</w:t>
            </w:r>
          </w:p>
        </w:tc>
      </w:tr>
      <w:tr>
        <w:tc>
          <w:tcPr>
            <w:tcW w:type="dxa" w:w="2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bCs/>
                <w:color w:val="000000"/>
                <w:sz w:val="14"/>
                <w:szCs w:val="14"/>
              </w:rPr>
              <w:t xml:space="preserve">mTLS</w:t>
            </w:r>
          </w:p>
        </w:tc>
        <w:tc>
          <w:tcPr>
            <w:tcW w:type="dxa" w:w="8200"/>
            <w:tcBorders>
              <w:top w:val="single" w:color="CCCCCC" w:sz="4"/>
              <w:left w:val="single" w:color="CCCCCC" w:sz="4"/>
              <w:bottom w:val="single" w:color="CCCCCC" w:sz="4"/>
              <w:right w:val="single" w:color="CCCCCC" w:sz="4"/>
            </w:tcBorders>
            <w:tcMar>
              <w:top w:type="dxa" w:w="35"/>
              <w:left w:type="dxa" w:w="55"/>
              <w:bottom w:type="dxa" w:w="35"/>
              <w:right w:type="dxa" w:w="55"/>
            </w:tcMar>
            <w:vAlign w:val="center"/>
          </w:tcPr>
          <w:p>
            <w:pPr>
              <w:jc w:val="left"/>
            </w:pPr>
            <w:r>
              <w:rPr>
                <w:rFonts w:ascii="Calibri" w:cs="Calibri" w:eastAsia="Calibri" w:hAnsi="Calibri"/>
                <w:b w:val="false"/>
                <w:bCs w:val="false"/>
                <w:color w:val="000000"/>
                <w:sz w:val="14"/>
                <w:szCs w:val="14"/>
              </w:rPr>
              <w:t xml:space="preserve">Mutual Transport Layer Security</w:t>
            </w:r>
          </w:p>
        </w:tc>
      </w:tr>
    </w:tbl>
    <w:p>
      <w:pPr>
        <w:pStyle w:val="Heading2"/>
        <w:spacing w:after="100" w:before="220"/>
      </w:pPr>
      <w:r>
        <w:rPr>
          <w:rFonts w:ascii="Calibri" w:cs="Calibri" w:eastAsia="Calibri" w:hAnsi="Calibri"/>
          <w:b/>
          <w:bCs/>
          <w:color w:val="2874A6"/>
          <w:sz w:val="20"/>
          <w:szCs w:val="20"/>
        </w:rPr>
        <w:t xml:space="preserve">11.2 Document Ownership</w:t>
      </w:r>
    </w:p>
    <w:p>
      <w:pPr>
        <w:spacing w:after="90"/>
      </w:pPr>
      <w:r>
        <w:rPr>
          <w:rFonts w:ascii="Calibri" w:cs="Calibri" w:eastAsia="Calibri" w:hAnsi="Calibri"/>
          <w:sz w:val="17"/>
          <w:szCs w:val="17"/>
        </w:rPr>
        <w:t xml:space="preserve">This Security Architecture &amp; Threat Model is owned by the Security Architect / CISO equivalent for the project. It must be reviewed at least annually and after any major architectural change or significant security incident.</w:t>
      </w:r>
    </w:p>
    <w:p>
      <w:pPr>
        <w:spacing w:after="180"/>
      </w:pPr>
    </w:p>
    <w:p>
      <w:pPr>
        <w:jc w:val="center"/>
      </w:pPr>
      <w:r>
        <w:rPr>
          <w:rFonts w:ascii="Calibri" w:cs="Calibri" w:eastAsia="Calibri" w:hAnsi="Calibri"/>
          <w:i/>
          <w:iCs/>
          <w:color w:val="666666"/>
          <w:sz w:val="15"/>
          <w:szCs w:val="15"/>
        </w:rPr>
        <w:t xml:space="preserve">— End of Security Architecture &amp; Threat Model —</w:t>
      </w:r>
    </w:p>
    <w:p>
      <w:pPr>
        <w:spacing w:before="40"/>
        <w:jc w:val="center"/>
      </w:pPr>
      <w:r>
        <w:rPr>
          <w:rFonts w:ascii="Calibri" w:cs="Calibri" w:eastAsia="Calibri" w:hAnsi="Calibri"/>
          <w:color w:val="888888"/>
          <w:sz w:val="13"/>
          <w:szCs w:val="13"/>
        </w:rPr>
        <w:t xml:space="preserve">Pariksha Mitra Security Architecture v1.0  |  August 2026  |  Confidential</w:t>
      </w:r>
    </w:p>
    <w:sectPr>
      <w:headerReference w:type="default" r:id="rId7"/>
      <w:footerReference w:type="default" r:id="rId8"/>
      <w:pgSz w:w="12240" w:h="15840" w:orient="portrait"/>
      <w:pgMar w:top="1008" w:right="900" w:bottom="1008"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5"/>
    </w:pPr>
    <w:r>
      <w:rPr>
        <w:rFonts w:ascii="Calibri" w:cs="Calibri" w:eastAsia="Calibri" w:hAnsi="Calibri"/>
        <w:color w:val="666666"/>
        <w:sz w:val="12"/>
        <w:szCs w:val="12"/>
      </w:rPr>
      <w:t xml:space="preserve">Ministry of Education, Government of India  |  Internal Use Only</w:t>
    </w:r>
    <w:r>
      <w:rPr>
        <w:sz w:val="12"/>
        <w:szCs w:val="12"/>
      </w:rPr>
      <w:t xml:space="preserve">                                                  </w:t>
    </w:r>
    <w:r>
      <w:rPr>
        <w:rFonts w:ascii="Calibri" w:cs="Calibri" w:eastAsia="Calibri" w:hAnsi="Calibri"/>
        <w:color w:val="666666"/>
        <w:sz w:val="12"/>
        <w:szCs w:val="12"/>
      </w:rPr>
      <w:t xml:space="preserve">Page </w:t>
    </w:r>
    <w:r>
      <w:rPr>
        <w:rFonts w:ascii="Calibri" w:cs="Calibri" w:eastAsia="Calibri" w:hAnsi="Calibri"/>
        <w:color w:val="666666"/>
        <w:sz w:val="12"/>
        <w:szCs w:val="12"/>
      </w:rPr>
      <w:fldChar w:fldCharType="begin"/>
      <w:instrText xml:space="preserve">PAGE</w:instrText>
      <w:fldChar w:fldCharType="separate"/>
      <w:fldChar w:fldCharType="end"/>
    </w:r>
    <w:r>
      <w:rPr>
        <w:rFonts w:ascii="Calibri" w:cs="Calibri" w:eastAsia="Calibri" w:hAnsi="Calibri"/>
        <w:color w:val="666666"/>
        <w:sz w:val="12"/>
        <w:szCs w:val="12"/>
      </w:rPr>
      <w:t xml:space="preserve"> of </w:t>
    </w:r>
    <w:r>
      <w:rPr>
        <w:rFonts w:ascii="Calibri" w:cs="Calibri" w:eastAsia="Calibri" w:hAnsi="Calibri"/>
        <w:color w:val="666666"/>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80"/>
    </w:pPr>
    <w:r>
      <w:rPr>
        <w:rFonts w:ascii="Calibri" w:cs="Calibri" w:eastAsia="Calibri" w:hAnsi="Calibri"/>
        <w:b/>
        <w:bCs/>
        <w:color w:val="1B4F72"/>
        <w:sz w:val="13"/>
        <w:szCs w:val="13"/>
      </w:rPr>
      <w:t xml:space="preserve">PARIKSHA MITRA  |  Security Architecture &amp; Threat Model</w:t>
    </w:r>
    <w:r>
      <w:rPr>
        <w:sz w:val="13"/>
        <w:szCs w:val="13"/>
      </w:rPr>
      <w:t xml:space="preserve">                                                              </w:t>
    </w:r>
    <w:r>
      <w:rPr>
        <w:rFonts w:ascii="Calibri" w:cs="Calibri" w:eastAsia="Calibri" w:hAnsi="Calibri"/>
        <w:i/>
        <w:iCs/>
        <w:color w:val="C0392B"/>
        <w:sz w:val="13"/>
        <w:szCs w:val="13"/>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B4F72"/>
      <w:sz w:val="26"/>
      <w:szCs w:val="26"/>
    </w:rPr>
  </w:style>
  <w:style w:type="paragraph" w:styleId="Heading2">
    <w:name w:val="Heading 2"/>
    <w:basedOn w:val="Normal"/>
    <w:next w:val="Normal"/>
    <w:qFormat/>
    <w:pPr>
      <w:spacing w:after="100" w:before="220"/>
      <w:outlineLvl w:val="1"/>
    </w:pPr>
    <w:rPr>
      <w:rFonts w:ascii="Calibri" w:cs="Calibri" w:eastAsia="Calibri" w:hAnsi="Calibri"/>
      <w:b/>
      <w:bCs/>
      <w:color w:val="2874A6"/>
      <w:sz w:val="20"/>
      <w:szCs w:val="20"/>
    </w:rPr>
  </w:style>
  <w:style w:type="paragraph" w:styleId="Heading3">
    <w:name w:val="Heading 3"/>
    <w:basedOn w:val="Normal"/>
    <w:next w:val="Normal"/>
    <w:qFormat/>
    <w:pPr>
      <w:spacing w:after="70" w:before="150"/>
      <w:outlineLvl w:val="2"/>
    </w:pPr>
    <w:rPr>
      <w:rFonts w:ascii="Calibri" w:cs="Calibri" w:eastAsia="Calibri" w:hAnsi="Calibri"/>
      <w:b/>
      <w:bCs/>
      <w:color w:val="1A5276"/>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2026-08-18T13:29:57.676Z</dcterms:created>
  <dcterms:modified xsi:type="dcterms:W3CDTF">2026-08-18T13:29:57.676Z</dcterms:modified>
</cp:coreProperties>
</file>

<file path=docProps/custom.xml><?xml version="1.0" encoding="utf-8"?>
<Properties xmlns="http://schemas.openxmlformats.org/officeDocument/2006/custom-properties" xmlns:vt="http://schemas.openxmlformats.org/officeDocument/2006/docPropsVTypes"/>
</file>