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4018DF7"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AAFFE24"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5CB59ADF"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3E033727" w14:textId="77777777" w:rsidR="00D31ECE" w:rsidRPr="00D31ECE" w:rsidRDefault="00D31ECE" w:rsidP="00D31ECE">
      <w:pPr>
        <w:spacing w:line="36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G</w:t>
        <w:tab/>
        <w:t>Shared Recommendation Processing . . . . . . . . . . .</w:t>
        <w:tab/>
        <w:t>000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H</w:t>
        <w:tab/>
        <w:t>ML-Based Production Estimate Processing . . . . . . . . . . .</w:t>
        <w:tab/>
        <w:t>000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I</w:t>
        <w:tab/>
        <w:t>Interactive Agricultural Map Data Processing . . . . . . . . . . .</w:t>
        <w:tab/>
        <w:t>000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J</w:t>
        <w:tab/>
        <w:t>Crop Data Management . . . . . . . . . . .</w:t>
        <w:tab/>
        <w:t>000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K</w:t>
        <w:tab/>
        <w:t>User Manual . . . . . . . . . . .</w:t>
        <w:tab/>
        <w:t>000</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