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d326c64a0b4118df6dbe4773097eebccdf522b6"/>
    <w:p>
      <w:pPr>
        <w:pStyle w:val="Heading1"/>
      </w:pPr>
      <w:r>
        <w:t xml:space="preserve">Implementation Guidelines for Recommendations</w:t>
      </w:r>
    </w:p>
    <w:p>
      <w:pPr>
        <w:pStyle w:val="FirstParagraph"/>
      </w:pPr>
      <w:r>
        <w:t xml:space="preserve">The</w:t>
      </w:r>
      <w:r>
        <w:t xml:space="preserve"> </w:t>
      </w:r>
      <w:r>
        <w:rPr>
          <w:rStyle w:val="VerbatimChar"/>
        </w:rPr>
        <w:t xml:space="preserve">ccp-mainbuild-v1</w:t>
      </w:r>
      <w:r>
        <w:t xml:space="preserve"> </w:t>
      </w:r>
      <w:r>
        <w:t xml:space="preserve">project is approaching commercial readiness and has several clear areas for improvement. Below are detailed steps for implementing the seven recommendations listed in the updated README, along with an alternative architecture proposal that preserves the core product vision while improving scalability and reliability. Lines in the README update support each recommendation.</w:t>
      </w:r>
    </w:p>
    <w:bookmarkStart w:id="22" w:name="consolidate-common-helpers"/>
    <w:p>
      <w:pPr>
        <w:pStyle w:val="Heading2"/>
      </w:pPr>
      <w:r>
        <w:t xml:space="preserve">1. Consolidate common helpers</w:t>
      </w:r>
    </w:p>
    <w:p>
      <w:pPr>
        <w:pStyle w:val="FirstParagraph"/>
      </w:pPr>
      <w:r>
        <w:t xml:space="preserve">The codebase contains duplicate helper functions, notably</w:t>
      </w:r>
      <w:r>
        <w:t xml:space="preserve"> </w:t>
      </w:r>
      <w:r>
        <w:rPr>
          <w:rStyle w:val="VerbatimChar"/>
        </w:rPr>
        <w:t xml:space="preserve">_safe_select</w:t>
      </w:r>
      <w:r>
        <w:t xml:space="preserve"> </w:t>
      </w:r>
      <w:r>
        <w:t xml:space="preserve">used in both the eligibility runner and the profile mapper. Consolidating these helpers will reduce code duplication and ease maintenance.</w:t>
      </w:r>
    </w:p>
    <w:bookmarkStart w:id="21" w:name="steps"/>
    <w:p>
      <w:pPr>
        <w:pStyle w:val="Heading3"/>
      </w:pPr>
      <w:r>
        <w:t xml:space="preserve">Steps</w:t>
      </w:r>
    </w:p>
    <w:p>
      <w:pPr>
        <w:pStyle w:val="Compact"/>
        <w:numPr>
          <w:ilvl w:val="0"/>
          <w:numId w:val="1001"/>
        </w:numPr>
      </w:pPr>
      <w:r>
        <w:rPr>
          <w:b/>
          <w:bCs/>
        </w:rPr>
        <w:t xml:space="preserve">Create a shared module</w:t>
      </w:r>
      <w:r>
        <w:t xml:space="preserve"> </w:t>
      </w:r>
      <w:r>
        <w:t xml:space="preserve">– Add a new module, e.g.</w:t>
      </w:r>
      <w:r>
        <w:t xml:space="preserve"> </w:t>
      </w:r>
      <w:r>
        <w:rPr>
          <w:rStyle w:val="VerbatimChar"/>
        </w:rPr>
        <w:t xml:space="preserve">app/db/utils.py</w:t>
      </w:r>
      <w:r>
        <w:t xml:space="preserve">, to host common Supabase helper functions. Copy the implementation of</w:t>
      </w:r>
      <w:r>
        <w:t xml:space="preserve"> </w:t>
      </w:r>
      <w:r>
        <w:rPr>
          <w:rStyle w:val="VerbatimChar"/>
        </w:rPr>
        <w:t xml:space="preserve">_safe_select</w:t>
      </w:r>
      <w:r>
        <w:t xml:space="preserve"> </w:t>
      </w:r>
      <w:r>
        <w:t xml:space="preserve">and any other duplicated helpers into this module. Ensure the function handles exceptions gracefully and returns an empty list on failure.</w:t>
      </w:r>
    </w:p>
    <w:p>
      <w:pPr>
        <w:pStyle w:val="Compact"/>
        <w:numPr>
          <w:ilvl w:val="0"/>
          <w:numId w:val="1001"/>
        </w:numPr>
      </w:pPr>
      <w:r>
        <w:rPr>
          <w:b/>
          <w:bCs/>
        </w:rPr>
        <w:t xml:space="preserve">Refactor imports</w:t>
      </w:r>
      <w:r>
        <w:t xml:space="preserve"> </w:t>
      </w:r>
      <w:r>
        <w:t xml:space="preserve">– Replace local</w:t>
      </w:r>
      <w:r>
        <w:t xml:space="preserve"> </w:t>
      </w:r>
      <w:r>
        <w:rPr>
          <w:rStyle w:val="VerbatimChar"/>
        </w:rPr>
        <w:t xml:space="preserve">_safe_select</w:t>
      </w:r>
      <w:r>
        <w:t xml:space="preserve"> </w:t>
      </w:r>
      <w:r>
        <w:t xml:space="preserve">definitions in files such as</w:t>
      </w:r>
      <w:r>
        <w:t xml:space="preserve"> </w:t>
      </w:r>
      <w:r>
        <w:rPr>
          <w:rStyle w:val="VerbatimChar"/>
        </w:rPr>
        <w:t xml:space="preserve">eligibility/runner.py</w:t>
      </w:r>
      <w:r>
        <w:t xml:space="preserve"> </w:t>
      </w:r>
      <w:r>
        <w:t xml:space="preserve">and</w:t>
      </w:r>
      <w:r>
        <w:t xml:space="preserve"> </w:t>
      </w:r>
      <w:r>
        <w:rPr>
          <w:rStyle w:val="VerbatimChar"/>
        </w:rPr>
        <w:t xml:space="preserve">profile/eligibility_mapper.py</w:t>
      </w:r>
      <w:r>
        <w:t xml:space="preserve"> </w:t>
      </w:r>
      <w:r>
        <w:t xml:space="preserve">with imports from</w:t>
      </w:r>
      <w:r>
        <w:t xml:space="preserve"> </w:t>
      </w:r>
      <w:r>
        <w:rPr>
          <w:rStyle w:val="VerbatimChar"/>
        </w:rPr>
        <w:t xml:space="preserve">app.db.utils</w:t>
      </w:r>
      <w:r>
        <w:t xml:space="preserve">. Remove the duplicated code from those modules.</w:t>
      </w:r>
    </w:p>
    <w:p>
      <w:pPr>
        <w:pStyle w:val="Compact"/>
        <w:numPr>
          <w:ilvl w:val="0"/>
          <w:numId w:val="1001"/>
        </w:numPr>
      </w:pPr>
      <w:r>
        <w:rPr>
          <w:b/>
          <w:bCs/>
        </w:rPr>
        <w:t xml:space="preserve">Review other duplication</w:t>
      </w:r>
      <w:r>
        <w:t xml:space="preserve"> </w:t>
      </w:r>
      <w:r>
        <w:t xml:space="preserve">– Search the repository for similar patterns (e.g. helper functions for data transformation) and centralize them. Document the purpose and usage of each helper in the module’s docstring.</w:t>
      </w:r>
    </w:p>
    <w:p>
      <w:pPr>
        <w:pStyle w:val="Compact"/>
        <w:numPr>
          <w:ilvl w:val="0"/>
          <w:numId w:val="1001"/>
        </w:numPr>
      </w:pPr>
      <w:r>
        <w:rPr>
          <w:b/>
          <w:bCs/>
        </w:rPr>
        <w:t xml:space="preserve">Update tests</w:t>
      </w:r>
      <w:r>
        <w:t xml:space="preserve"> </w:t>
      </w:r>
      <w:r>
        <w:t xml:space="preserve">– If existing tests refer to the old helper location, adjust the import paths. Add tests for the consolidated helper to ensure consistent behaviour across different error scenarios.</w:t>
      </w:r>
    </w:p>
    <w:bookmarkEnd w:id="21"/>
    <w:bookmarkEnd w:id="22"/>
    <w:bookmarkStart w:id="24" w:name="improve-error-propagation"/>
    <w:p>
      <w:pPr>
        <w:pStyle w:val="Heading2"/>
      </w:pPr>
      <w:r>
        <w:t xml:space="preserve">2. Improve error propagation</w:t>
      </w:r>
    </w:p>
    <w:p>
      <w:pPr>
        <w:pStyle w:val="FirstParagraph"/>
      </w:pPr>
      <w:r>
        <w:t xml:space="preserve">The eligibility runner and admin API swallow exceptions and return empty lists, which can hide critical issues. Exposing errors appropriately helps developers troubleshoot and allows clients to handle failures.</w:t>
      </w:r>
    </w:p>
    <w:bookmarkStart w:id="23" w:name="steps-1"/>
    <w:p>
      <w:pPr>
        <w:pStyle w:val="Heading3"/>
      </w:pPr>
      <w:r>
        <w:t xml:space="preserve">Steps</w:t>
      </w:r>
    </w:p>
    <w:p>
      <w:pPr>
        <w:pStyle w:val="Compact"/>
        <w:numPr>
          <w:ilvl w:val="0"/>
          <w:numId w:val="1002"/>
        </w:numPr>
      </w:pPr>
      <w:r>
        <w:rPr>
          <w:b/>
          <w:bCs/>
        </w:rPr>
        <w:t xml:space="preserve">Define custom exceptions</w:t>
      </w:r>
      <w:r>
        <w:t xml:space="preserve"> </w:t>
      </w:r>
      <w:r>
        <w:t xml:space="preserve">– Create custom exception classes (e.g.</w:t>
      </w:r>
      <w:r>
        <w:t xml:space="preserve"> </w:t>
      </w:r>
      <w:r>
        <w:rPr>
          <w:rStyle w:val="VerbatimChar"/>
        </w:rPr>
        <w:t xml:space="preserve">DatabaseError</w:t>
      </w:r>
      <w:r>
        <w:t xml:space="preserve">,</w:t>
      </w:r>
      <w:r>
        <w:t xml:space="preserve"> </w:t>
      </w:r>
      <w:r>
        <w:rPr>
          <w:rStyle w:val="VerbatimChar"/>
        </w:rPr>
        <w:t xml:space="preserve">ValidationError</w:t>
      </w:r>
      <w:r>
        <w:t xml:space="preserve">) to represent predictable failure modes. In modules where Supabase queries are executed, catch lower‑level exceptions and re‑raise them as appropriate.</w:t>
      </w:r>
    </w:p>
    <w:p>
      <w:pPr>
        <w:pStyle w:val="Compact"/>
        <w:numPr>
          <w:ilvl w:val="0"/>
          <w:numId w:val="1002"/>
        </w:numPr>
      </w:pPr>
      <w:r>
        <w:rPr>
          <w:b/>
          <w:bCs/>
        </w:rPr>
        <w:t xml:space="preserve">Return informative errors</w:t>
      </w:r>
      <w:r>
        <w:t xml:space="preserve"> </w:t>
      </w:r>
      <w:r>
        <w:t xml:space="preserve">– Modify API endpoints to return structured error messages with HTTP status codes. For example, if a Supabase query fails in</w:t>
      </w:r>
      <w:r>
        <w:t xml:space="preserve"> </w:t>
      </w:r>
      <w:r>
        <w:rPr>
          <w:rStyle w:val="VerbatimChar"/>
        </w:rPr>
        <w:t xml:space="preserve">eligibility/runner.py</w:t>
      </w:r>
      <w:r>
        <w:t xml:space="preserve">, return a</w:t>
      </w:r>
      <w:r>
        <w:t xml:space="preserve"> </w:t>
      </w:r>
      <w:r>
        <w:rPr>
          <w:rStyle w:val="VerbatimChar"/>
        </w:rPr>
        <w:t xml:space="preserve">500</w:t>
      </w:r>
      <w:r>
        <w:t xml:space="preserve"> </w:t>
      </w:r>
      <w:r>
        <w:t xml:space="preserve">status and a JSON body describing the failure rather than an empty result. Use FastAPI’s</w:t>
      </w:r>
      <w:r>
        <w:t xml:space="preserve"> </w:t>
      </w:r>
      <w:r>
        <w:rPr>
          <w:rStyle w:val="VerbatimChar"/>
        </w:rPr>
        <w:t xml:space="preserve">HTTPException</w:t>
      </w:r>
      <w:r>
        <w:t xml:space="preserve"> </w:t>
      </w:r>
      <w:r>
        <w:t xml:space="preserve">to express these errors.</w:t>
      </w:r>
    </w:p>
    <w:p>
      <w:pPr>
        <w:pStyle w:val="Compact"/>
        <w:numPr>
          <w:ilvl w:val="0"/>
          <w:numId w:val="1002"/>
        </w:numPr>
      </w:pPr>
      <w:r>
        <w:rPr>
          <w:b/>
          <w:bCs/>
        </w:rPr>
        <w:t xml:space="preserve">Log and propagate</w:t>
      </w:r>
      <w:r>
        <w:t xml:space="preserve"> </w:t>
      </w:r>
      <w:r>
        <w:t xml:space="preserve">– Log stack traces using the project’s logger to maintain observability. Avoid catching broad</w:t>
      </w:r>
      <w:r>
        <w:t xml:space="preserve"> </w:t>
      </w:r>
      <w:r>
        <w:rPr>
          <w:rStyle w:val="VerbatimChar"/>
        </w:rPr>
        <w:t xml:space="preserve">Exception</w:t>
      </w:r>
      <w:r>
        <w:t xml:space="preserve"> </w:t>
      </w:r>
      <w:r>
        <w:t xml:space="preserve">unless necessary; instead, catch specific exceptions and allow unexpected errors to propagate, letting FastAPI handle them.</w:t>
      </w:r>
    </w:p>
    <w:p>
      <w:pPr>
        <w:pStyle w:val="Compact"/>
        <w:numPr>
          <w:ilvl w:val="0"/>
          <w:numId w:val="1002"/>
        </w:numPr>
      </w:pPr>
      <w:r>
        <w:rPr>
          <w:b/>
          <w:bCs/>
        </w:rPr>
        <w:t xml:space="preserve">Document failure modes</w:t>
      </w:r>
      <w:r>
        <w:t xml:space="preserve"> </w:t>
      </w:r>
      <w:r>
        <w:t xml:space="preserve">– Update API documentation to list possible error responses and recommend how clients should react (e.g. retry, show error message).</w:t>
      </w:r>
    </w:p>
    <w:bookmarkEnd w:id="23"/>
    <w:bookmarkEnd w:id="24"/>
    <w:bookmarkStart w:id="26" w:name="introduce-asynchronous-apis"/>
    <w:p>
      <w:pPr>
        <w:pStyle w:val="Heading2"/>
      </w:pPr>
      <w:r>
        <w:t xml:space="preserve">3. Introduce asynchronous APIs</w:t>
      </w:r>
    </w:p>
    <w:p>
      <w:pPr>
        <w:pStyle w:val="FirstParagraph"/>
      </w:pPr>
      <w:r>
        <w:t xml:space="preserve">The runner currently performs sequential Supabase calls. For higher throughput or improved responsiveness, especially with large user bases or scrape volumes, consider asynchronous I/O.</w:t>
      </w:r>
    </w:p>
    <w:bookmarkStart w:id="25" w:name="steps-2"/>
    <w:p>
      <w:pPr>
        <w:pStyle w:val="Heading3"/>
      </w:pPr>
      <w:r>
        <w:t xml:space="preserve">Steps</w:t>
      </w:r>
    </w:p>
    <w:p>
      <w:pPr>
        <w:pStyle w:val="Compact"/>
        <w:numPr>
          <w:ilvl w:val="0"/>
          <w:numId w:val="1003"/>
        </w:numPr>
      </w:pPr>
      <w:r>
        <w:rPr>
          <w:b/>
          <w:bCs/>
        </w:rPr>
        <w:t xml:space="preserve">Evaluate async support</w:t>
      </w:r>
      <w:r>
        <w:t xml:space="preserve"> </w:t>
      </w:r>
      <w:r>
        <w:t xml:space="preserve">– Check whether the</w:t>
      </w:r>
      <w:r>
        <w:t xml:space="preserve"> </w:t>
      </w:r>
      <w:r>
        <w:rPr>
          <w:rStyle w:val="VerbatimChar"/>
        </w:rPr>
        <w:t xml:space="preserve">supabase-py</w:t>
      </w:r>
      <w:r>
        <w:t xml:space="preserve"> </w:t>
      </w:r>
      <w:r>
        <w:t xml:space="preserve">library provides asynchronous methods. If available, import the async client and replace blocking calls (</w:t>
      </w:r>
      <w:r>
        <w:rPr>
          <w:rStyle w:val="VerbatimChar"/>
        </w:rPr>
        <w:t xml:space="preserve">.execute()</w:t>
      </w:r>
      <w:r>
        <w:t xml:space="preserve">) with their asynchronous counterparts (e.g.</w:t>
      </w:r>
      <w:r>
        <w:t xml:space="preserve"> </w:t>
      </w:r>
      <w:r>
        <w:rPr>
          <w:rStyle w:val="VerbatimChar"/>
        </w:rPr>
        <w:t xml:space="preserve">.execute_async()</w:t>
      </w:r>
      <w:r>
        <w:t xml:space="preserve">).</w:t>
      </w:r>
    </w:p>
    <w:p>
      <w:pPr>
        <w:pStyle w:val="Compact"/>
        <w:numPr>
          <w:ilvl w:val="0"/>
          <w:numId w:val="1003"/>
        </w:numPr>
      </w:pPr>
      <w:r>
        <w:rPr>
          <w:b/>
          <w:bCs/>
        </w:rPr>
        <w:t xml:space="preserve">Refactor functions to</w:t>
      </w:r>
      <w:r>
        <w:rPr>
          <w:b/>
          <w:bCs/>
        </w:rPr>
        <w:t xml:space="preserve"> </w:t>
      </w:r>
      <w:r>
        <w:rPr>
          <w:rStyle w:val="VerbatimChar"/>
          <w:b/>
          <w:bCs/>
        </w:rPr>
        <w:t xml:space="preserve">async def</w:t>
      </w:r>
      <w:r>
        <w:t xml:space="preserve"> </w:t>
      </w:r>
      <w:r>
        <w:t xml:space="preserve">– Convert functions that perform database I/O, such as</w:t>
      </w:r>
      <w:r>
        <w:t xml:space="preserve"> </w:t>
      </w:r>
      <w:r>
        <w:rPr>
          <w:rStyle w:val="VerbatimChar"/>
        </w:rPr>
        <w:t xml:space="preserve">run_eligibility_for_user</w:t>
      </w:r>
      <w:r>
        <w:t xml:space="preserve">, to</w:t>
      </w:r>
      <w:r>
        <w:t xml:space="preserve"> </w:t>
      </w:r>
      <w:r>
        <w:rPr>
          <w:rStyle w:val="VerbatimChar"/>
        </w:rPr>
        <w:t xml:space="preserve">async def</w:t>
      </w:r>
      <w:r>
        <w:t xml:space="preserve">. Use</w:t>
      </w:r>
      <w:r>
        <w:t xml:space="preserve"> </w:t>
      </w:r>
      <w:r>
        <w:rPr>
          <w:rStyle w:val="VerbatimChar"/>
        </w:rPr>
        <w:t xml:space="preserve">await</w:t>
      </w:r>
      <w:r>
        <w:t xml:space="preserve"> </w:t>
      </w:r>
      <w:r>
        <w:t xml:space="preserve">for asynchronous Supabase operations. Update API endpoints to be</w:t>
      </w:r>
      <w:r>
        <w:t xml:space="preserve"> </w:t>
      </w:r>
      <w:r>
        <w:rPr>
          <w:rStyle w:val="VerbatimChar"/>
        </w:rPr>
        <w:t xml:space="preserve">async def</w:t>
      </w:r>
      <w:r>
        <w:t xml:space="preserve"> </w:t>
      </w:r>
      <w:r>
        <w:t xml:space="preserve">and call the asynchronous runner using</w:t>
      </w:r>
      <w:r>
        <w:t xml:space="preserve"> </w:t>
      </w:r>
      <w:r>
        <w:rPr>
          <w:rStyle w:val="VerbatimChar"/>
        </w:rPr>
        <w:t xml:space="preserve">await</w:t>
      </w:r>
      <w:r>
        <w:t xml:space="preserve">.</w:t>
      </w:r>
    </w:p>
    <w:p>
      <w:pPr>
        <w:pStyle w:val="Compact"/>
        <w:numPr>
          <w:ilvl w:val="0"/>
          <w:numId w:val="1003"/>
        </w:numPr>
      </w:pPr>
      <w:r>
        <w:rPr>
          <w:b/>
          <w:bCs/>
        </w:rPr>
        <w:t xml:space="preserve">Batch queries where possible</w:t>
      </w:r>
      <w:r>
        <w:t xml:space="preserve"> </w:t>
      </w:r>
      <w:r>
        <w:t xml:space="preserve">– Some data (posts, attempts, credentials) can be fetched in fewer queries by using</w:t>
      </w:r>
      <w:r>
        <w:t xml:space="preserve"> </w:t>
      </w:r>
      <w:r>
        <w:rPr>
          <w:rStyle w:val="VerbatimChar"/>
        </w:rPr>
        <w:t xml:space="preserve">.in_()</w:t>
      </w:r>
      <w:r>
        <w:t xml:space="preserve"> </w:t>
      </w:r>
      <w:r>
        <w:t xml:space="preserve">filters. Combining queries reduces network latency even without full async support.</w:t>
      </w:r>
    </w:p>
    <w:p>
      <w:pPr>
        <w:pStyle w:val="Compact"/>
        <w:numPr>
          <w:ilvl w:val="0"/>
          <w:numId w:val="1003"/>
        </w:numPr>
      </w:pPr>
      <w:r>
        <w:rPr>
          <w:b/>
          <w:bCs/>
        </w:rPr>
        <w:t xml:space="preserve">Consider</w:t>
      </w:r>
      <w:r>
        <w:rPr>
          <w:b/>
          <w:bCs/>
        </w:rPr>
        <w:t xml:space="preserve"> </w:t>
      </w:r>
      <w:r>
        <w:rPr>
          <w:rStyle w:val="VerbatimChar"/>
          <w:b/>
          <w:bCs/>
        </w:rPr>
        <w:t xml:space="preserve">asyncpg</w:t>
      </w:r>
      <w:r>
        <w:rPr>
          <w:b/>
          <w:bCs/>
        </w:rPr>
        <w:t xml:space="preserve"> </w:t>
      </w:r>
      <w:r>
        <w:rPr>
          <w:b/>
          <w:bCs/>
        </w:rPr>
        <w:t xml:space="preserve">via pooler DSN</w:t>
      </w:r>
      <w:r>
        <w:t xml:space="preserve"> </w:t>
      </w:r>
      <w:r>
        <w:t xml:space="preserve">– The comments in</w:t>
      </w:r>
      <w:r>
        <w:t xml:space="preserve"> </w:t>
      </w:r>
      <w:r>
        <w:rPr>
          <w:rStyle w:val="VerbatimChar"/>
        </w:rPr>
        <w:t xml:space="preserve">eligibility/runner.py</w:t>
      </w:r>
      <w:r>
        <w:t xml:space="preserve"> </w:t>
      </w:r>
      <w:r>
        <w:t xml:space="preserve">mention moving to</w:t>
      </w:r>
      <w:r>
        <w:t xml:space="preserve"> </w:t>
      </w:r>
      <w:r>
        <w:rPr>
          <w:rStyle w:val="VerbatimChar"/>
        </w:rPr>
        <w:t xml:space="preserve">asyncpg</w:t>
      </w:r>
      <w:r>
        <w:t xml:space="preserve"> </w:t>
      </w:r>
      <w:r>
        <w:t xml:space="preserve">once a connection pooler is available. Investigate the Supabase DSN configuration and integrate</w:t>
      </w:r>
      <w:r>
        <w:t xml:space="preserve"> </w:t>
      </w:r>
      <w:r>
        <w:rPr>
          <w:rStyle w:val="VerbatimChar"/>
        </w:rPr>
        <w:t xml:space="preserve">asyncpg</w:t>
      </w:r>
      <w:r>
        <w:t xml:space="preserve"> </w:t>
      </w:r>
      <w:r>
        <w:t xml:space="preserve">to handle large numbers of concurrent requests.</w:t>
      </w:r>
    </w:p>
    <w:p>
      <w:pPr>
        <w:pStyle w:val="Compact"/>
        <w:numPr>
          <w:ilvl w:val="0"/>
          <w:numId w:val="1003"/>
        </w:numPr>
      </w:pPr>
      <w:r>
        <w:rPr>
          <w:b/>
          <w:bCs/>
        </w:rPr>
        <w:t xml:space="preserve">Benchmark and monitor</w:t>
      </w:r>
      <w:r>
        <w:t xml:space="preserve"> </w:t>
      </w:r>
      <w:r>
        <w:t xml:space="preserve">– Measure performance before and after introducing async to ensure improvements outweigh the complexity.</w:t>
      </w:r>
    </w:p>
    <w:bookmarkEnd w:id="25"/>
    <w:bookmarkEnd w:id="26"/>
    <w:bookmarkStart w:id="28" w:name="enhance-documentation"/>
    <w:p>
      <w:pPr>
        <w:pStyle w:val="Heading2"/>
      </w:pPr>
      <w:r>
        <w:t xml:space="preserve">4. Enhance documentation</w:t>
      </w:r>
    </w:p>
    <w:p>
      <w:pPr>
        <w:pStyle w:val="FirstParagraph"/>
      </w:pPr>
      <w:r>
        <w:t xml:space="preserve">Clear documentation is essential for onboarding contributors and for external partners integrating with the system.</w:t>
      </w:r>
    </w:p>
    <w:bookmarkStart w:id="27" w:name="steps-3"/>
    <w:p>
      <w:pPr>
        <w:pStyle w:val="Heading3"/>
      </w:pPr>
      <w:r>
        <w:t xml:space="preserve">Steps</w:t>
      </w:r>
    </w:p>
    <w:p>
      <w:pPr>
        <w:pStyle w:val="Compact"/>
        <w:numPr>
          <w:ilvl w:val="0"/>
          <w:numId w:val="1004"/>
        </w:numPr>
      </w:pPr>
      <w:r>
        <w:rPr>
          <w:b/>
          <w:bCs/>
        </w:rPr>
        <w:t xml:space="preserve">Expand the README</w:t>
      </w:r>
      <w:r>
        <w:t xml:space="preserve"> </w:t>
      </w:r>
      <w:r>
        <w:t xml:space="preserve">– Extend the README to describe the system architecture, data flow, key tables, and how to run the project locally. Include diagrams (e.g. sequence or flow charts) showing the progression from scrape to eligibility computation.</w:t>
      </w:r>
    </w:p>
    <w:p>
      <w:pPr>
        <w:pStyle w:val="Compact"/>
        <w:numPr>
          <w:ilvl w:val="0"/>
          <w:numId w:val="1004"/>
        </w:numPr>
      </w:pPr>
      <w:r>
        <w:rPr>
          <w:b/>
          <w:bCs/>
        </w:rPr>
        <w:t xml:space="preserve">Create contribution guidelines</w:t>
      </w:r>
      <w:r>
        <w:t xml:space="preserve"> </w:t>
      </w:r>
      <w:r>
        <w:t xml:space="preserve">– Add a</w:t>
      </w:r>
      <w:r>
        <w:t xml:space="preserve"> </w:t>
      </w:r>
      <w:r>
        <w:rPr>
          <w:rStyle w:val="VerbatimChar"/>
        </w:rPr>
        <w:t xml:space="preserve">CONTRIBUTING.md</w:t>
      </w:r>
      <w:r>
        <w:t xml:space="preserve"> </w:t>
      </w:r>
      <w:r>
        <w:t xml:space="preserve">that explains how to run tests, style guidelines, branch workflow and how to request a review. Provide examples of how to add new scraper adapters or eligibility rules.</w:t>
      </w:r>
    </w:p>
    <w:p>
      <w:pPr>
        <w:pStyle w:val="Compact"/>
        <w:numPr>
          <w:ilvl w:val="0"/>
          <w:numId w:val="1004"/>
        </w:numPr>
      </w:pPr>
      <w:r>
        <w:rPr>
          <w:b/>
          <w:bCs/>
        </w:rPr>
        <w:t xml:space="preserve">Document API endpoints</w:t>
      </w:r>
      <w:r>
        <w:t xml:space="preserve"> </w:t>
      </w:r>
      <w:r>
        <w:t xml:space="preserve">– Use FastAPI’s built‑in OpenAPI generation to expose API documentation. Ensure each endpoint has descriptive docstrings and examples. Publish the generated docs or include them in a</w:t>
      </w:r>
      <w:r>
        <w:t xml:space="preserve"> </w:t>
      </w:r>
      <w:r>
        <w:rPr>
          <w:rStyle w:val="VerbatimChar"/>
        </w:rPr>
        <w:t xml:space="preserve">docs/api</w:t>
      </w:r>
      <w:r>
        <w:t xml:space="preserve"> </w:t>
      </w:r>
      <w:r>
        <w:t xml:space="preserve">directory.</w:t>
      </w:r>
    </w:p>
    <w:p>
      <w:pPr>
        <w:pStyle w:val="Compact"/>
        <w:numPr>
          <w:ilvl w:val="0"/>
          <w:numId w:val="1004"/>
        </w:numPr>
      </w:pPr>
      <w:r>
        <w:rPr>
          <w:b/>
          <w:bCs/>
        </w:rPr>
        <w:t xml:space="preserve">Maintain a migration history</w:t>
      </w:r>
      <w:r>
        <w:t xml:space="preserve"> </w:t>
      </w:r>
      <w:r>
        <w:t xml:space="preserve">– Summarize key Supabase migrations in a</w:t>
      </w:r>
      <w:r>
        <w:t xml:space="preserve"> </w:t>
      </w:r>
      <w:r>
        <w:rPr>
          <w:rStyle w:val="VerbatimChar"/>
        </w:rPr>
        <w:t xml:space="preserve">docs/migrations.md</w:t>
      </w:r>
      <w:r>
        <w:t xml:space="preserve"> </w:t>
      </w:r>
      <w:r>
        <w:t xml:space="preserve">file and link it from the README. This helps developers understand database evolution.</w:t>
      </w:r>
    </w:p>
    <w:p>
      <w:pPr>
        <w:pStyle w:val="Compact"/>
        <w:numPr>
          <w:ilvl w:val="0"/>
          <w:numId w:val="1004"/>
        </w:numPr>
      </w:pPr>
      <w:r>
        <w:rPr>
          <w:b/>
          <w:bCs/>
        </w:rPr>
        <w:t xml:space="preserve">Add architecture decisions records (ADRs)</w:t>
      </w:r>
      <w:r>
        <w:t xml:space="preserve"> </w:t>
      </w:r>
      <w:r>
        <w:t xml:space="preserve">– If major decisions are made (e.g. switching to async, adopting message queues), document them in</w:t>
      </w:r>
      <w:r>
        <w:t xml:space="preserve"> </w:t>
      </w:r>
      <w:r>
        <w:rPr>
          <w:rStyle w:val="VerbatimChar"/>
        </w:rPr>
        <w:t xml:space="preserve">docs/adr/</w:t>
      </w:r>
      <w:r>
        <w:t xml:space="preserve"> </w:t>
      </w:r>
      <w:r>
        <w:t xml:space="preserve">so future team members understand the rationale.</w:t>
      </w:r>
    </w:p>
    <w:bookmarkEnd w:id="27"/>
    <w:bookmarkEnd w:id="28"/>
    <w:bookmarkStart w:id="30" w:name="add-unit-and-integration-tests"/>
    <w:p>
      <w:pPr>
        <w:pStyle w:val="Heading2"/>
      </w:pPr>
      <w:r>
        <w:t xml:space="preserve">5. Add unit and integration tests</w:t>
      </w:r>
    </w:p>
    <w:p>
      <w:pPr>
        <w:pStyle w:val="FirstParagraph"/>
      </w:pPr>
      <w:r>
        <w:t xml:space="preserve">A deterministic eligibility engine is ideally suited for comprehensive unit testing, and integration tests ensure that the overall pipeline works as expected.</w:t>
      </w:r>
    </w:p>
    <w:bookmarkStart w:id="29" w:name="steps-4"/>
    <w:p>
      <w:pPr>
        <w:pStyle w:val="Heading3"/>
      </w:pPr>
      <w:r>
        <w:t xml:space="preserve">Steps</w:t>
      </w:r>
    </w:p>
    <w:p>
      <w:pPr>
        <w:pStyle w:val="Compact"/>
        <w:numPr>
          <w:ilvl w:val="0"/>
          <w:numId w:val="1005"/>
        </w:numPr>
      </w:pPr>
      <w:r>
        <w:rPr>
          <w:b/>
          <w:bCs/>
        </w:rPr>
        <w:t xml:space="preserve">Set up a test framework</w:t>
      </w:r>
      <w:r>
        <w:t xml:space="preserve"> </w:t>
      </w:r>
      <w:r>
        <w:t xml:space="preserve">– Use</w:t>
      </w:r>
      <w:r>
        <w:t xml:space="preserve"> </w:t>
      </w:r>
      <w:r>
        <w:rPr>
          <w:rStyle w:val="VerbatimChar"/>
        </w:rPr>
        <w:t xml:space="preserve">pytest</w:t>
      </w:r>
      <w:r>
        <w:t xml:space="preserve"> </w:t>
      </w:r>
      <w:r>
        <w:t xml:space="preserve">as the test runner. Include</w:t>
      </w:r>
      <w:r>
        <w:t xml:space="preserve"> </w:t>
      </w:r>
      <w:r>
        <w:rPr>
          <w:rStyle w:val="VerbatimChar"/>
        </w:rPr>
        <w:t xml:space="preserve">pytest</w:t>
      </w:r>
      <w:r>
        <w:t xml:space="preserve"> </w:t>
      </w:r>
      <w:r>
        <w:t xml:space="preserve">and any required mocking libraries in</w:t>
      </w:r>
      <w:r>
        <w:t xml:space="preserve"> </w:t>
      </w:r>
      <w:r>
        <w:rPr>
          <w:rStyle w:val="VerbatimChar"/>
        </w:rPr>
        <w:t xml:space="preserve">dev-requirements.txt</w:t>
      </w:r>
      <w:r>
        <w:t xml:space="preserve">.</w:t>
      </w:r>
    </w:p>
    <w:p>
      <w:pPr>
        <w:pStyle w:val="Compact"/>
        <w:numPr>
          <w:ilvl w:val="0"/>
          <w:numId w:val="1005"/>
        </w:numPr>
      </w:pPr>
      <w:r>
        <w:rPr>
          <w:b/>
          <w:bCs/>
        </w:rPr>
        <w:t xml:space="preserve">Write unit tests for the engine</w:t>
      </w:r>
      <w:r>
        <w:t xml:space="preserve"> </w:t>
      </w:r>
      <w:r>
        <w:t xml:space="preserve">– Create a</w:t>
      </w:r>
      <w:r>
        <w:t xml:space="preserve"> </w:t>
      </w:r>
      <w:r>
        <w:rPr>
          <w:rStyle w:val="VerbatimChar"/>
        </w:rPr>
        <w:t xml:space="preserve">tests/eligibility/test_engine.py</w:t>
      </w:r>
      <w:r>
        <w:t xml:space="preserve"> </w:t>
      </w:r>
      <w:r>
        <w:t xml:space="preserve">module. Cover edge cases for each rule: age boundaries, category relaxations, education qualification with missing marks, attempt limits, exam credentials and domicile. Use</w:t>
      </w:r>
      <w:r>
        <w:t xml:space="preserve"> </w:t>
      </w:r>
      <w:r>
        <w:rPr>
          <w:rStyle w:val="VerbatimChar"/>
        </w:rPr>
        <w:t xml:space="preserve">pytest.param</w:t>
      </w:r>
      <w:r>
        <w:t xml:space="preserve"> </w:t>
      </w:r>
      <w:r>
        <w:t xml:space="preserve">to parametrise scenarios.</w:t>
      </w:r>
    </w:p>
    <w:p>
      <w:pPr>
        <w:pStyle w:val="Compact"/>
        <w:numPr>
          <w:ilvl w:val="0"/>
          <w:numId w:val="1005"/>
        </w:numPr>
      </w:pPr>
      <w:r>
        <w:rPr>
          <w:b/>
          <w:bCs/>
        </w:rPr>
        <w:t xml:space="preserve">Test the runner and API</w:t>
      </w:r>
      <w:r>
        <w:t xml:space="preserve"> </w:t>
      </w:r>
      <w:r>
        <w:t xml:space="preserve">– Write integration tests that spin up a test Supabase schema (or mock Supabase client) and run</w:t>
      </w:r>
      <w:r>
        <w:t xml:space="preserve"> </w:t>
      </w:r>
      <w:r>
        <w:rPr>
          <w:rStyle w:val="VerbatimChar"/>
        </w:rPr>
        <w:t xml:space="preserve">run_eligibility_for_user</w:t>
      </w:r>
      <w:r>
        <w:t xml:space="preserve"> </w:t>
      </w:r>
      <w:r>
        <w:t xml:space="preserve">end‑to‑end. Use test fixtures to seed the database with posts, criteria and user data, and assert that eligibility results and notifications match expectations.</w:t>
      </w:r>
    </w:p>
    <w:p>
      <w:pPr>
        <w:pStyle w:val="Compact"/>
        <w:numPr>
          <w:ilvl w:val="0"/>
          <w:numId w:val="1005"/>
        </w:numPr>
      </w:pPr>
      <w:r>
        <w:rPr>
          <w:b/>
          <w:bCs/>
        </w:rPr>
        <w:t xml:space="preserve">Test error paths</w:t>
      </w:r>
      <w:r>
        <w:t xml:space="preserve"> </w:t>
      </w:r>
      <w:r>
        <w:t xml:space="preserve">– Ensure that when Supabase calls fail or data is missing, the API returns appropriate errors (as per the improved error propagation guidelines).</w:t>
      </w:r>
    </w:p>
    <w:p>
      <w:pPr>
        <w:pStyle w:val="Compact"/>
        <w:numPr>
          <w:ilvl w:val="0"/>
          <w:numId w:val="1005"/>
        </w:numPr>
      </w:pPr>
      <w:r>
        <w:rPr>
          <w:b/>
          <w:bCs/>
        </w:rPr>
        <w:t xml:space="preserve">Continuous integration</w:t>
      </w:r>
      <w:r>
        <w:t xml:space="preserve"> </w:t>
      </w:r>
      <w:r>
        <w:t xml:space="preserve">– Add a CI workflow (e.g. GitHub Actions) to run tests on pull requests. Set up code coverage reporting and enforce a minimum coverage threshold.</w:t>
      </w:r>
    </w:p>
    <w:bookmarkEnd w:id="29"/>
    <w:bookmarkEnd w:id="30"/>
    <w:bookmarkStart w:id="32" w:name="optimize-queue-queries"/>
    <w:p>
      <w:pPr>
        <w:pStyle w:val="Heading2"/>
      </w:pPr>
      <w:r>
        <w:t xml:space="preserve">6. Optimize queue queries</w:t>
      </w:r>
    </w:p>
    <w:p>
      <w:pPr>
        <w:pStyle w:val="FirstParagraph"/>
      </w:pPr>
      <w:r>
        <w:t xml:space="preserve">Administrative dashboards rely on fast queries against the</w:t>
      </w:r>
      <w:r>
        <w:t xml:space="preserve"> </w:t>
      </w:r>
      <w:r>
        <w:rPr>
          <w:rStyle w:val="VerbatimChar"/>
        </w:rPr>
        <w:t xml:space="preserve">scrape_queue</w:t>
      </w:r>
      <w:r>
        <w:t xml:space="preserve"> </w:t>
      </w:r>
      <w:r>
        <w:t xml:space="preserve">and</w:t>
      </w:r>
      <w:r>
        <w:t xml:space="preserve"> </w:t>
      </w:r>
      <w:r>
        <w:rPr>
          <w:rStyle w:val="VerbatimChar"/>
        </w:rPr>
        <w:t xml:space="preserve">eligibility_recompute_queue</w:t>
      </w:r>
      <w:r>
        <w:t xml:space="preserve"> </w:t>
      </w:r>
      <w:r>
        <w:t xml:space="preserve">tables. Without proper indexing, these queries may become slow as data grows.</w:t>
      </w:r>
    </w:p>
    <w:bookmarkStart w:id="31" w:name="steps-5"/>
    <w:p>
      <w:pPr>
        <w:pStyle w:val="Heading3"/>
      </w:pPr>
      <w:r>
        <w:t xml:space="preserve">Steps</w:t>
      </w:r>
    </w:p>
    <w:p>
      <w:pPr>
        <w:pStyle w:val="Compact"/>
        <w:numPr>
          <w:ilvl w:val="0"/>
          <w:numId w:val="1006"/>
        </w:numPr>
      </w:pPr>
      <w:r>
        <w:rPr>
          <w:b/>
          <w:bCs/>
        </w:rPr>
        <w:t xml:space="preserve">Add indexes</w:t>
      </w:r>
      <w:r>
        <w:t xml:space="preserve"> </w:t>
      </w:r>
      <w:r>
        <w:t xml:space="preserve">– In your Supabase migrations, create indexes on commonly filtered columns:</w:t>
      </w:r>
      <w:r>
        <w:t xml:space="preserve"> </w:t>
      </w:r>
      <w:r>
        <w:rPr>
          <w:rStyle w:val="VerbatimChar"/>
        </w:rPr>
        <w:t xml:space="preserve">scrape_queue.status</w:t>
      </w:r>
      <w:r>
        <w:t xml:space="preserve">,</w:t>
      </w:r>
      <w:r>
        <w:t xml:space="preserve"> </w:t>
      </w:r>
      <w:r>
        <w:rPr>
          <w:rStyle w:val="VerbatimChar"/>
        </w:rPr>
        <w:t xml:space="preserve">scrape_queue.reviewed_at</w:t>
      </w:r>
      <w:r>
        <w:t xml:space="preserve">,</w:t>
      </w:r>
      <w:r>
        <w:t xml:space="preserve"> </w:t>
      </w:r>
      <w:r>
        <w:rPr>
          <w:rStyle w:val="VerbatimChar"/>
        </w:rPr>
        <w:t xml:space="preserve">eligibility_recompute_queue.status</w:t>
      </w:r>
      <w:r>
        <w:t xml:space="preserve">, and any foreign keys used in joins. For example:</w:t>
      </w:r>
    </w:p>
    <w:p>
      <w:pPr>
        <w:pStyle w:val="SourceCode"/>
      </w:pPr>
      <w:r>
        <w:rPr>
          <w:rStyle w:val="VerbatimChar"/>
        </w:rPr>
        <w:t xml:space="preserve">CREATE INDEX IF NOT EXISTS idx_scrape_queue_status ON scrape_queue(status);</w:t>
      </w:r>
      <w:r>
        <w:br/>
      </w:r>
      <w:r>
        <w:rPr>
          <w:rStyle w:val="VerbatimChar"/>
        </w:rPr>
        <w:t xml:space="preserve">CREATE INDEX IF NOT EXISTS idx_scrape_queue_reviewed_at ON scrape_queue(reviewed_at);</w:t>
      </w:r>
      <w:r>
        <w:br/>
      </w:r>
      <w:r>
        <w:rPr>
          <w:rStyle w:val="VerbatimChar"/>
        </w:rPr>
        <w:t xml:space="preserve">CREATE INDEX IF NOT EXISTS idx_recompute_queue_status ON eligibility_recompute_queue(status);</w:t>
      </w:r>
    </w:p>
    <w:p>
      <w:pPr>
        <w:pStyle w:val="Compact"/>
        <w:numPr>
          <w:ilvl w:val="0"/>
          <w:numId w:val="1007"/>
        </w:numPr>
      </w:pPr>
      <w:r>
        <w:rPr>
          <w:b/>
          <w:bCs/>
        </w:rPr>
        <w:t xml:space="preserve">Analyze query plans</w:t>
      </w:r>
      <w:r>
        <w:t xml:space="preserve"> </w:t>
      </w:r>
      <w:r>
        <w:t xml:space="preserve">– Use Postgres</w:t>
      </w:r>
      <w:r>
        <w:t xml:space="preserve"> </w:t>
      </w:r>
      <w:r>
        <w:rPr>
          <w:rStyle w:val="VerbatimChar"/>
        </w:rPr>
        <w:t xml:space="preserve">EXPLAIN ANALYZE</w:t>
      </w:r>
      <w:r>
        <w:t xml:space="preserve"> </w:t>
      </w:r>
      <w:r>
        <w:t xml:space="preserve">to inspect queries executed by</w:t>
      </w:r>
      <w:r>
        <w:t xml:space="preserve"> </w:t>
      </w:r>
      <w:r>
        <w:rPr>
          <w:rStyle w:val="VerbatimChar"/>
        </w:rPr>
        <w:t xml:space="preserve">eligibility_queue()</w:t>
      </w:r>
      <w:r>
        <w:t xml:space="preserve"> </w:t>
      </w:r>
      <w:r>
        <w:t xml:space="preserve">and</w:t>
      </w:r>
      <w:r>
        <w:t xml:space="preserve"> </w:t>
      </w:r>
      <w:r>
        <w:rPr>
          <w:rStyle w:val="VerbatimChar"/>
        </w:rPr>
        <w:t xml:space="preserve">list_scrape_queue()</w:t>
      </w:r>
      <w:r>
        <w:t xml:space="preserve"> </w:t>
      </w:r>
      <w:r>
        <w:t xml:space="preserve">functions. Confirm that indexes are being used and adjust index definitions if necessary.</w:t>
      </w:r>
    </w:p>
    <w:p>
      <w:pPr>
        <w:pStyle w:val="Compact"/>
        <w:numPr>
          <w:ilvl w:val="0"/>
          <w:numId w:val="1007"/>
        </w:numPr>
      </w:pPr>
      <w:r>
        <w:rPr>
          <w:b/>
          <w:bCs/>
        </w:rPr>
        <w:t xml:space="preserve">Limit result sets</w:t>
      </w:r>
      <w:r>
        <w:t xml:space="preserve"> </w:t>
      </w:r>
      <w:r>
        <w:t xml:space="preserve">– The API limits results to 50 rows, which is good for performance. Ensure front‑end pagination uses these limits and does not request unbounded data.</w:t>
      </w:r>
    </w:p>
    <w:p>
      <w:pPr>
        <w:pStyle w:val="Compact"/>
        <w:numPr>
          <w:ilvl w:val="0"/>
          <w:numId w:val="1007"/>
        </w:numPr>
      </w:pPr>
      <w:r>
        <w:rPr>
          <w:b/>
          <w:bCs/>
        </w:rPr>
        <w:t xml:space="preserve">Cleanup routines</w:t>
      </w:r>
      <w:r>
        <w:t xml:space="preserve"> </w:t>
      </w:r>
      <w:r>
        <w:t xml:space="preserve">– Implement background jobs to archive or delete old entries from these tables (e.g. scrape_queue entries older than X months) to keep them lean.</w:t>
      </w:r>
    </w:p>
    <w:bookmarkEnd w:id="31"/>
    <w:bookmarkEnd w:id="32"/>
    <w:bookmarkStart w:id="34" w:name="security-permissions"/>
    <w:p>
      <w:pPr>
        <w:pStyle w:val="Heading2"/>
      </w:pPr>
      <w:r>
        <w:t xml:space="preserve">7. Security &amp; permissions</w:t>
      </w:r>
    </w:p>
    <w:p>
      <w:pPr>
        <w:pStyle w:val="FirstParagraph"/>
      </w:pPr>
      <w:r>
        <w:t xml:space="preserve">Protecting sensitive data and controlling access is critical as the product moves towards production.</w:t>
      </w:r>
    </w:p>
    <w:bookmarkStart w:id="33" w:name="steps-6"/>
    <w:p>
      <w:pPr>
        <w:pStyle w:val="Heading3"/>
      </w:pPr>
      <w:r>
        <w:t xml:space="preserve">Steps</w:t>
      </w:r>
    </w:p>
    <w:p>
      <w:pPr>
        <w:pStyle w:val="Compact"/>
        <w:numPr>
          <w:ilvl w:val="0"/>
          <w:numId w:val="1008"/>
        </w:numPr>
      </w:pPr>
      <w:r>
        <w:rPr>
          <w:b/>
          <w:bCs/>
        </w:rPr>
        <w:t xml:space="preserve">Use environment variables securely</w:t>
      </w:r>
      <w:r>
        <w:t xml:space="preserve"> </w:t>
      </w:r>
      <w:r>
        <w:t xml:space="preserve">– Store service‑role keys, API keys and database credentials in environment variables or a secrets manager. Avoid hard‑coding them in source files.</w:t>
      </w:r>
    </w:p>
    <w:p>
      <w:pPr>
        <w:pStyle w:val="Compact"/>
        <w:numPr>
          <w:ilvl w:val="0"/>
          <w:numId w:val="1008"/>
        </w:numPr>
      </w:pPr>
      <w:r>
        <w:rPr>
          <w:b/>
          <w:bCs/>
        </w:rPr>
        <w:t xml:space="preserve">Enforce role‑based access control</w:t>
      </w:r>
      <w:r>
        <w:t xml:space="preserve"> </w:t>
      </w:r>
      <w:r>
        <w:t xml:space="preserve">– Review every admin endpoint in</w:t>
      </w:r>
      <w:r>
        <w:t xml:space="preserve"> </w:t>
      </w:r>
      <w:r>
        <w:rPr>
          <w:rStyle w:val="VerbatimChar"/>
        </w:rPr>
        <w:t xml:space="preserve">admin_scrape.py</w:t>
      </w:r>
      <w:r>
        <w:t xml:space="preserve"> </w:t>
      </w:r>
      <w:r>
        <w:t xml:space="preserve">and</w:t>
      </w:r>
      <w:r>
        <w:t xml:space="preserve"> </w:t>
      </w:r>
      <w:r>
        <w:rPr>
          <w:rStyle w:val="VerbatimChar"/>
        </w:rPr>
        <w:t xml:space="preserve">eligibility.py</w:t>
      </w:r>
      <w:r>
        <w:t xml:space="preserve"> </w:t>
      </w:r>
      <w:r>
        <w:t xml:space="preserve">to ensure they depend on</w:t>
      </w:r>
      <w:r>
        <w:t xml:space="preserve"> </w:t>
      </w:r>
      <w:r>
        <w:rPr>
          <w:rStyle w:val="VerbatimChar"/>
        </w:rPr>
        <w:t xml:space="preserve">require_permission()</w:t>
      </w:r>
      <w:r>
        <w:t xml:space="preserve"> </w:t>
      </w:r>
      <w:r>
        <w:t xml:space="preserve">checks. Ensure user roles and permissions are defined in the database and updated when roles change.</w:t>
      </w:r>
    </w:p>
    <w:p>
      <w:pPr>
        <w:pStyle w:val="Compact"/>
        <w:numPr>
          <w:ilvl w:val="0"/>
          <w:numId w:val="1008"/>
        </w:numPr>
      </w:pPr>
      <w:r>
        <w:rPr>
          <w:b/>
          <w:bCs/>
        </w:rPr>
        <w:t xml:space="preserve">Rotate secrets</w:t>
      </w:r>
      <w:r>
        <w:t xml:space="preserve"> </w:t>
      </w:r>
      <w:r>
        <w:t xml:space="preserve">– Implement a regular schedule to rotate service‑role keys and other secrets. Provide documentation for how to update keys in deployment environments.</w:t>
      </w:r>
    </w:p>
    <w:p>
      <w:pPr>
        <w:pStyle w:val="Compact"/>
        <w:numPr>
          <w:ilvl w:val="0"/>
          <w:numId w:val="1008"/>
        </w:numPr>
      </w:pPr>
      <w:r>
        <w:rPr>
          <w:b/>
          <w:bCs/>
        </w:rPr>
        <w:t xml:space="preserve">Audit logging</w:t>
      </w:r>
      <w:r>
        <w:t xml:space="preserve"> </w:t>
      </w:r>
      <w:r>
        <w:t xml:space="preserve">– Use the existing</w:t>
      </w:r>
      <w:r>
        <w:t xml:space="preserve"> </w:t>
      </w:r>
      <w:r>
        <w:rPr>
          <w:rStyle w:val="VerbatimChar"/>
        </w:rPr>
        <w:t xml:space="preserve">admin_audit_logs</w:t>
      </w:r>
      <w:r>
        <w:t xml:space="preserve"> </w:t>
      </w:r>
      <w:r>
        <w:t xml:space="preserve">table consistently to record all admin actions, including field verifications, approvals and promotions. Consider adding logs for eligibility recomputation events.</w:t>
      </w:r>
    </w:p>
    <w:p>
      <w:pPr>
        <w:pStyle w:val="Compact"/>
        <w:numPr>
          <w:ilvl w:val="0"/>
          <w:numId w:val="1008"/>
        </w:numPr>
      </w:pPr>
      <w:r>
        <w:rPr>
          <w:b/>
          <w:bCs/>
        </w:rPr>
        <w:t xml:space="preserve">Data privacy</w:t>
      </w:r>
      <w:r>
        <w:t xml:space="preserve"> </w:t>
      </w:r>
      <w:r>
        <w:t xml:space="preserve">– Ensure that user data retrieved from Supabase is scoped correctly. When returning eligibility results, include only necessary fields to avoid leaking personal information.</w:t>
      </w:r>
    </w:p>
    <w:p>
      <w:pPr>
        <w:pStyle w:val="Compact"/>
        <w:numPr>
          <w:ilvl w:val="0"/>
          <w:numId w:val="1008"/>
        </w:numPr>
      </w:pPr>
      <w:r>
        <w:rPr>
          <w:b/>
          <w:bCs/>
        </w:rPr>
        <w:t xml:space="preserve">Dependency updates</w:t>
      </w:r>
      <w:r>
        <w:t xml:space="preserve"> </w:t>
      </w:r>
      <w:r>
        <w:t xml:space="preserve">– Keep dependencies up to date to mitigate vulnerabilities. Use tools like</w:t>
      </w:r>
      <w:r>
        <w:t xml:space="preserve"> </w:t>
      </w:r>
      <w:r>
        <w:rPr>
          <w:rStyle w:val="VerbatimChar"/>
        </w:rPr>
        <w:t xml:space="preserve">pip-audit</w:t>
      </w:r>
      <w:r>
        <w:t xml:space="preserve"> </w:t>
      </w:r>
      <w:r>
        <w:t xml:space="preserve">or</w:t>
      </w:r>
      <w:r>
        <w:t xml:space="preserve"> </w:t>
      </w:r>
      <w:r>
        <w:rPr>
          <w:rStyle w:val="VerbatimChar"/>
        </w:rPr>
        <w:t xml:space="preserve">safety</w:t>
      </w:r>
      <w:r>
        <w:t xml:space="preserve"> </w:t>
      </w:r>
      <w:r>
        <w:t xml:space="preserve">in CI pipelines.</w:t>
      </w:r>
    </w:p>
    <w:bookmarkEnd w:id="33"/>
    <w:bookmarkEnd w:id="34"/>
    <w:bookmarkStart w:id="37" w:name="alternative-architecture-proposal"/>
    <w:p>
      <w:pPr>
        <w:pStyle w:val="Heading2"/>
      </w:pPr>
      <w:r>
        <w:t xml:space="preserve">Alternative architecture proposal</w:t>
      </w:r>
    </w:p>
    <w:p>
      <w:pPr>
        <w:pStyle w:val="FirstParagraph"/>
      </w:pPr>
      <w:r>
        <w:t xml:space="preserve">To improve scalability and maintain the product vision—a deterministic eligibility engine combined with human‑in‑the‑loop trust gating—you could evolve the architecture towards an</w:t>
      </w:r>
      <w:r>
        <w:t xml:space="preserve"> </w:t>
      </w:r>
      <w:r>
        <w:rPr>
          <w:b/>
          <w:bCs/>
        </w:rPr>
        <w:t xml:space="preserve">event‑driven microservices design</w:t>
      </w:r>
      <w:r>
        <w:t xml:space="preserve">:</w:t>
      </w:r>
    </w:p>
    <w:p>
      <w:pPr>
        <w:pStyle w:val="Compact"/>
        <w:numPr>
          <w:ilvl w:val="0"/>
          <w:numId w:val="1009"/>
        </w:numPr>
      </w:pPr>
      <w:r>
        <w:rPr>
          <w:b/>
          <w:bCs/>
        </w:rPr>
        <w:t xml:space="preserve">Decouple scraping and ingestion</w:t>
      </w:r>
      <w:r>
        <w:t xml:space="preserve"> </w:t>
      </w:r>
      <w:r>
        <w:t xml:space="preserve">– Convert the scraping runner into a standalone microservice or function (e.g. AWS Lambda or Cloud Run). When it finishes scraping, it publishes messages (e.g. to a queue such as Apache Kafka, Pub/Sub or SQS) for each extracted item.</w:t>
      </w:r>
    </w:p>
    <w:p>
      <w:pPr>
        <w:pStyle w:val="Compact"/>
        <w:numPr>
          <w:ilvl w:val="0"/>
          <w:numId w:val="1009"/>
        </w:numPr>
      </w:pPr>
      <w:r>
        <w:rPr>
          <w:b/>
          <w:bCs/>
        </w:rPr>
        <w:t xml:space="preserve">Trust gate service</w:t>
      </w:r>
      <w:r>
        <w:t xml:space="preserve"> </w:t>
      </w:r>
      <w:r>
        <w:t xml:space="preserve">– Implement a separate service that listens to scrape messages and inserts them into the</w:t>
      </w:r>
      <w:r>
        <w:t xml:space="preserve"> </w:t>
      </w:r>
      <w:r>
        <w:rPr>
          <w:rStyle w:val="VerbatimChar"/>
        </w:rPr>
        <w:t xml:space="preserve">scrape_queue</w:t>
      </w:r>
      <w:r>
        <w:t xml:space="preserve">. This service also exposes APIs for admin review. Field verification events can be stored separately and associated with the queue item.</w:t>
      </w:r>
    </w:p>
    <w:p>
      <w:pPr>
        <w:pStyle w:val="Compact"/>
        <w:numPr>
          <w:ilvl w:val="0"/>
          <w:numId w:val="1009"/>
        </w:numPr>
      </w:pPr>
      <w:r>
        <w:rPr>
          <w:b/>
          <w:bCs/>
        </w:rPr>
        <w:t xml:space="preserve">Recruitment service</w:t>
      </w:r>
      <w:r>
        <w:t xml:space="preserve"> </w:t>
      </w:r>
      <w:r>
        <w:t xml:space="preserve">– When an admin promotes an item, publish a “promotion” event. A recruitment service consumes these events, inserts or updates</w:t>
      </w:r>
      <w:r>
        <w:t xml:space="preserve"> </w:t>
      </w:r>
      <w:r>
        <w:rPr>
          <w:rStyle w:val="VerbatimChar"/>
        </w:rPr>
        <w:t xml:space="preserve">recruitments</w:t>
      </w:r>
      <w:r>
        <w:t xml:space="preserve"> </w:t>
      </w:r>
      <w:r>
        <w:t xml:space="preserve">and associated criteria, and triggers the eligibility recompute queue for affected users.</w:t>
      </w:r>
    </w:p>
    <w:p>
      <w:pPr>
        <w:pStyle w:val="Compact"/>
        <w:numPr>
          <w:ilvl w:val="0"/>
          <w:numId w:val="1009"/>
        </w:numPr>
      </w:pPr>
      <w:r>
        <w:rPr>
          <w:b/>
          <w:bCs/>
        </w:rPr>
        <w:t xml:space="preserve">Eligibility service</w:t>
      </w:r>
      <w:r>
        <w:t xml:space="preserve"> </w:t>
      </w:r>
      <w:r>
        <w:t xml:space="preserve">– Move the eligibility runner into its own service that subscribes to recompute events. It fetches the necessary data from the database, runs the deterministic engine, stores results and publishes notification events.</w:t>
      </w:r>
    </w:p>
    <w:p>
      <w:pPr>
        <w:pStyle w:val="Compact"/>
        <w:numPr>
          <w:ilvl w:val="0"/>
          <w:numId w:val="1009"/>
        </w:numPr>
      </w:pPr>
      <w:r>
        <w:rPr>
          <w:b/>
          <w:bCs/>
        </w:rPr>
        <w:t xml:space="preserve">Notification service</w:t>
      </w:r>
      <w:r>
        <w:t xml:space="preserve"> </w:t>
      </w:r>
      <w:r>
        <w:t xml:space="preserve">– A dedicated service listens for eligibility results and user preference changes. It sends alerts via email, SMS or push notifications and records them in</w:t>
      </w:r>
      <w:r>
        <w:t xml:space="preserve"> </w:t>
      </w:r>
      <w:r>
        <w:rPr>
          <w:rStyle w:val="VerbatimChar"/>
        </w:rPr>
        <w:t xml:space="preserve">notification_alerts</w:t>
      </w:r>
      <w:r>
        <w:t xml:space="preserve">.</w:t>
      </w:r>
    </w:p>
    <w:p>
      <w:pPr>
        <w:pStyle w:val="Compact"/>
        <w:numPr>
          <w:ilvl w:val="0"/>
          <w:numId w:val="1009"/>
        </w:numPr>
      </w:pPr>
      <w:r>
        <w:rPr>
          <w:b/>
          <w:bCs/>
        </w:rPr>
        <w:t xml:space="preserve">API gateway</w:t>
      </w:r>
      <w:r>
        <w:t xml:space="preserve"> </w:t>
      </w:r>
      <w:r>
        <w:t xml:space="preserve">– Expose a unified REST/GraphQL gateway that routes requests to the appropriate services. Authentication and authorization can be centralized here.</w:t>
      </w:r>
    </w:p>
    <w:p>
      <w:pPr>
        <w:pStyle w:val="Compact"/>
        <w:numPr>
          <w:ilvl w:val="0"/>
          <w:numId w:val="1009"/>
        </w:numPr>
      </w:pPr>
      <w:r>
        <w:rPr>
          <w:b/>
          <w:bCs/>
        </w:rPr>
        <w:t xml:space="preserve">Shared database or event sourcing</w:t>
      </w:r>
      <w:r>
        <w:t xml:space="preserve"> </w:t>
      </w:r>
      <w:r>
        <w:t xml:space="preserve">– Services can share a Supabase/Postgres database or adopt an event‑sourced model where state changes are recorded as events. A shared database simplifies data consistency but requires careful schema management; event sourcing increases flexibility but adds complexity.</w:t>
      </w:r>
    </w:p>
    <w:bookmarkStart w:id="35" w:name="benefits"/>
    <w:p>
      <w:pPr>
        <w:pStyle w:val="Heading3"/>
      </w:pPr>
      <w:r>
        <w:t xml:space="preserve">Benefits</w:t>
      </w:r>
    </w:p>
    <w:p>
      <w:pPr>
        <w:pStyle w:val="Compact"/>
        <w:numPr>
          <w:ilvl w:val="0"/>
          <w:numId w:val="1010"/>
        </w:numPr>
      </w:pPr>
      <w:r>
        <w:rPr>
          <w:b/>
          <w:bCs/>
        </w:rPr>
        <w:t xml:space="preserve">Scalability</w:t>
      </w:r>
      <w:r>
        <w:t xml:space="preserve"> </w:t>
      </w:r>
      <w:r>
        <w:t xml:space="preserve">– Each service can scale independently based on load (e.g. more scraping workers when new sources are added). Asynchronous message queues smooth traffic bursts.</w:t>
      </w:r>
    </w:p>
    <w:p>
      <w:pPr>
        <w:pStyle w:val="Compact"/>
        <w:numPr>
          <w:ilvl w:val="0"/>
          <w:numId w:val="1010"/>
        </w:numPr>
      </w:pPr>
      <w:r>
        <w:rPr>
          <w:b/>
          <w:bCs/>
        </w:rPr>
        <w:t xml:space="preserve">Isolation of concerns</w:t>
      </w:r>
      <w:r>
        <w:t xml:space="preserve"> </w:t>
      </w:r>
      <w:r>
        <w:t xml:space="preserve">– A bug in scraping does not directly affect eligibility computation. Services can be updated or redeployed independently.</w:t>
      </w:r>
    </w:p>
    <w:p>
      <w:pPr>
        <w:pStyle w:val="Compact"/>
        <w:numPr>
          <w:ilvl w:val="0"/>
          <w:numId w:val="1010"/>
        </w:numPr>
      </w:pPr>
      <w:r>
        <w:rPr>
          <w:b/>
          <w:bCs/>
        </w:rPr>
        <w:t xml:space="preserve">Extensibility</w:t>
      </w:r>
      <w:r>
        <w:t xml:space="preserve"> </w:t>
      </w:r>
      <w:r>
        <w:t xml:space="preserve">– New features such as additional eligibility rules, new notification channels or advanced analytics can be added by introducing new services that listen to events.</w:t>
      </w:r>
    </w:p>
    <w:p>
      <w:pPr>
        <w:pStyle w:val="Compact"/>
        <w:numPr>
          <w:ilvl w:val="0"/>
          <w:numId w:val="1010"/>
        </w:numPr>
      </w:pPr>
      <w:r>
        <w:rPr>
          <w:b/>
          <w:bCs/>
        </w:rPr>
        <w:t xml:space="preserve">Resilience</w:t>
      </w:r>
      <w:r>
        <w:t xml:space="preserve"> </w:t>
      </w:r>
      <w:r>
        <w:t xml:space="preserve">– Message queues provide retry mechanisms and persistence. If a service crashes, messages remain in the queue for later processing.</w:t>
      </w:r>
    </w:p>
    <w:bookmarkEnd w:id="35"/>
    <w:bookmarkStart w:id="36" w:name="considerations"/>
    <w:p>
      <w:pPr>
        <w:pStyle w:val="Heading3"/>
      </w:pPr>
      <w:r>
        <w:t xml:space="preserve">Considerations</w:t>
      </w:r>
    </w:p>
    <w:p>
      <w:pPr>
        <w:pStyle w:val="Compact"/>
        <w:numPr>
          <w:ilvl w:val="0"/>
          <w:numId w:val="1011"/>
        </w:numPr>
      </w:pPr>
      <w:r>
        <w:rPr>
          <w:b/>
          <w:bCs/>
        </w:rPr>
        <w:t xml:space="preserve">Operational overhead</w:t>
      </w:r>
      <w:r>
        <w:t xml:space="preserve"> </w:t>
      </w:r>
      <w:r>
        <w:t xml:space="preserve">– More services and message brokers increase operational complexity. Adequate monitoring, tracing and deployment automation are required.</w:t>
      </w:r>
    </w:p>
    <w:p>
      <w:pPr>
        <w:pStyle w:val="Compact"/>
        <w:numPr>
          <w:ilvl w:val="0"/>
          <w:numId w:val="1011"/>
        </w:numPr>
      </w:pPr>
      <w:r>
        <w:rPr>
          <w:b/>
          <w:bCs/>
        </w:rPr>
        <w:t xml:space="preserve">Consistency</w:t>
      </w:r>
      <w:r>
        <w:t xml:space="preserve"> </w:t>
      </w:r>
      <w:r>
        <w:t xml:space="preserve">– With asynchronous communication, ensure that eventual consistency is acceptable. For user‑facing operations that require immediate feedback (e.g. recalculating eligibility after profile updates), synchronous endpoints may still be needed.</w:t>
      </w:r>
    </w:p>
    <w:p>
      <w:pPr>
        <w:pStyle w:val="Compact"/>
        <w:numPr>
          <w:ilvl w:val="0"/>
          <w:numId w:val="1011"/>
        </w:numPr>
      </w:pPr>
      <w:r>
        <w:rPr>
          <w:b/>
          <w:bCs/>
        </w:rPr>
        <w:t xml:space="preserve">Cost</w:t>
      </w:r>
      <w:r>
        <w:t xml:space="preserve"> </w:t>
      </w:r>
      <w:r>
        <w:t xml:space="preserve">– Serverless or microservice architectures can incur higher costs due to per‑request pricing and multiple runtimes.</w:t>
      </w:r>
    </w:p>
    <w:p>
      <w:pPr>
        <w:pStyle w:val="FirstParagraph"/>
      </w:pPr>
      <w:r>
        <w:t xml:space="preserve">By adopting a modular, event‑driven architecture, the project can scale to handle more users and sources while preserving the core product vision: deterministic eligibility evaluation with human oversight for data quality.</w:t>
      </w:r>
    </w:p>
    <w:bookmarkEnd w:id="36"/>
    <w:bookmarkEnd w:id="37"/>
    <w:bookmarkEnd w:id="38"/>
    <w:bookmarkEnd w:id="39"/>
    <w:p>
      <w:r>
        <w:pict>
          <v:rect style="width:0;height:1.5pt" o:hralign="center" o:hrstd="t" o:hr="t"/>
        </w:pict>
      </w:r>
    </w:p>
    <w:bookmarkStart w:id="40" w:name="citations"/>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2026-05-08T18:44:21Z</dcterms:created>
  <dcterms:modified xsi:type="dcterms:W3CDTF">2026-05-08T18:44:21Z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