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052A8" w14:textId="77777777" w:rsidR="00C807F3" w:rsidRPr="00C807F3" w:rsidRDefault="00C807F3" w:rsidP="00C807F3">
      <w:r w:rsidRPr="00C807F3">
        <w:rPr>
          <w:b/>
          <w:bCs/>
        </w:rPr>
        <w:t>Compliance with GDPR and HIPAA</w:t>
      </w:r>
    </w:p>
    <w:p w14:paraId="4F2FC9AD" w14:textId="77777777" w:rsidR="00C807F3" w:rsidRPr="00C807F3" w:rsidRDefault="00C807F3" w:rsidP="00C807F3">
      <w:pPr>
        <w:numPr>
          <w:ilvl w:val="0"/>
          <w:numId w:val="3"/>
        </w:numPr>
      </w:pPr>
      <w:r w:rsidRPr="00C807F3">
        <w:rPr>
          <w:b/>
          <w:bCs/>
        </w:rPr>
        <w:t>Data Retention and Patient Consent</w:t>
      </w:r>
      <w:r w:rsidRPr="00C807F3">
        <w:t>:</w:t>
      </w:r>
    </w:p>
    <w:p w14:paraId="7758D919" w14:textId="77777777" w:rsidR="00C807F3" w:rsidRPr="00C807F3" w:rsidRDefault="00C807F3" w:rsidP="00C807F3">
      <w:pPr>
        <w:numPr>
          <w:ilvl w:val="0"/>
          <w:numId w:val="4"/>
        </w:numPr>
      </w:pPr>
      <w:r w:rsidRPr="00C807F3">
        <w:rPr>
          <w:b/>
          <w:bCs/>
        </w:rPr>
        <w:t>Data retention policies</w:t>
      </w:r>
      <w:r w:rsidRPr="00C807F3">
        <w:t xml:space="preserve"> are fully compliant with both </w:t>
      </w:r>
      <w:r w:rsidRPr="00C807F3">
        <w:rPr>
          <w:b/>
          <w:bCs/>
        </w:rPr>
        <w:t>GDPR</w:t>
      </w:r>
      <w:r w:rsidRPr="00C807F3">
        <w:t xml:space="preserve"> and </w:t>
      </w:r>
      <w:r w:rsidRPr="00C807F3">
        <w:rPr>
          <w:b/>
          <w:bCs/>
        </w:rPr>
        <w:t>HIPAA</w:t>
      </w:r>
      <w:r w:rsidRPr="00C807F3">
        <w:t>, specifying how long patient data is stored and ensuring that records are securely deleted after the retention period ends.</w:t>
      </w:r>
    </w:p>
    <w:p w14:paraId="268D7976" w14:textId="77777777" w:rsidR="00C807F3" w:rsidRPr="00C807F3" w:rsidRDefault="00C807F3" w:rsidP="00C807F3">
      <w:pPr>
        <w:numPr>
          <w:ilvl w:val="0"/>
          <w:numId w:val="5"/>
        </w:numPr>
      </w:pPr>
      <w:r w:rsidRPr="00C807F3">
        <w:t xml:space="preserve">The plan provides mechanisms for patients to </w:t>
      </w:r>
      <w:r w:rsidRPr="00C807F3">
        <w:rPr>
          <w:b/>
          <w:bCs/>
        </w:rPr>
        <w:t>consent</w:t>
      </w:r>
      <w:r w:rsidRPr="00C807F3">
        <w:t xml:space="preserve"> to data collection and allows patients to exercise their </w:t>
      </w:r>
      <w:r w:rsidRPr="00C807F3">
        <w:rPr>
          <w:b/>
          <w:bCs/>
        </w:rPr>
        <w:t>right to access</w:t>
      </w:r>
      <w:r w:rsidRPr="00C807F3">
        <w:t xml:space="preserve"> their data, as well as their </w:t>
      </w:r>
      <w:r w:rsidRPr="00C807F3">
        <w:rPr>
          <w:b/>
          <w:bCs/>
        </w:rPr>
        <w:t>right to erasure</w:t>
      </w:r>
      <w:r w:rsidRPr="00C807F3">
        <w:t xml:space="preserve"> (under GDPR). All requests for access or deletion are handled promptly by the </w:t>
      </w:r>
      <w:r w:rsidRPr="00C807F3">
        <w:rPr>
          <w:b/>
          <w:bCs/>
        </w:rPr>
        <w:t>Compliance Officer</w:t>
      </w:r>
      <w:r w:rsidRPr="00C807F3">
        <w:t>.</w:t>
      </w:r>
    </w:p>
    <w:p w14:paraId="1C797491" w14:textId="77777777" w:rsidR="00C807F3" w:rsidRPr="00C807F3" w:rsidRDefault="00C807F3" w:rsidP="00C807F3">
      <w:pPr>
        <w:numPr>
          <w:ilvl w:val="0"/>
          <w:numId w:val="6"/>
        </w:numPr>
      </w:pPr>
      <w:r w:rsidRPr="00C807F3">
        <w:rPr>
          <w:b/>
          <w:bCs/>
        </w:rPr>
        <w:t>Audit Trails</w:t>
      </w:r>
      <w:r w:rsidRPr="00C807F3">
        <w:t>:</w:t>
      </w:r>
    </w:p>
    <w:p w14:paraId="7A79AA33" w14:textId="77777777" w:rsidR="00C807F3" w:rsidRPr="00C807F3" w:rsidRDefault="00C807F3" w:rsidP="00C807F3">
      <w:pPr>
        <w:numPr>
          <w:ilvl w:val="0"/>
          <w:numId w:val="7"/>
        </w:numPr>
      </w:pPr>
      <w:r w:rsidRPr="00C807F3">
        <w:t xml:space="preserve">Comprehensive </w:t>
      </w:r>
      <w:r w:rsidRPr="00C807F3">
        <w:rPr>
          <w:b/>
          <w:bCs/>
        </w:rPr>
        <w:t>audit trails</w:t>
      </w:r>
      <w:r w:rsidRPr="00C807F3">
        <w:t xml:space="preserve"> are in place to track all access and modifications to patient data. These logs are stored securely and are protected from tampering. Regular audits ensure compliance with data governance and security standards.</w:t>
      </w:r>
    </w:p>
    <w:p w14:paraId="28836A54" w14:textId="77777777" w:rsidR="00C807F3" w:rsidRPr="00C807F3" w:rsidRDefault="00C807F3" w:rsidP="00C807F3">
      <w:pPr>
        <w:numPr>
          <w:ilvl w:val="0"/>
          <w:numId w:val="8"/>
        </w:numPr>
      </w:pPr>
      <w:r w:rsidRPr="00C807F3">
        <w:rPr>
          <w:b/>
          <w:bCs/>
        </w:rPr>
        <w:t>Data Protection Policies</w:t>
      </w:r>
      <w:r w:rsidRPr="00C807F3">
        <w:t>:</w:t>
      </w:r>
    </w:p>
    <w:p w14:paraId="5492DF79" w14:textId="77777777" w:rsidR="00C807F3" w:rsidRPr="00C807F3" w:rsidRDefault="00C807F3" w:rsidP="00C807F3">
      <w:pPr>
        <w:numPr>
          <w:ilvl w:val="0"/>
          <w:numId w:val="9"/>
        </w:numPr>
      </w:pPr>
      <w:r w:rsidRPr="00C807F3">
        <w:rPr>
          <w:b/>
          <w:bCs/>
        </w:rPr>
        <w:t>Data protection policies</w:t>
      </w:r>
      <w:r w:rsidRPr="00C807F3">
        <w:t xml:space="preserve"> are well-established, covering every aspect of data handling, storage, and sharing. These policies are reviewed regularly to ensure ongoing compliance with new GDPR and HIPAA updates.</w:t>
      </w:r>
    </w:p>
    <w:p w14:paraId="2193FF53" w14:textId="77777777" w:rsidR="00C807F3" w:rsidRPr="00C807F3" w:rsidRDefault="00C807F3" w:rsidP="00C807F3">
      <w:pPr>
        <w:numPr>
          <w:ilvl w:val="0"/>
          <w:numId w:val="10"/>
        </w:numPr>
      </w:pPr>
      <w:r w:rsidRPr="00C807F3">
        <w:rPr>
          <w:b/>
          <w:bCs/>
        </w:rPr>
        <w:t>Compliance Requests</w:t>
      </w:r>
      <w:r w:rsidRPr="00C807F3">
        <w:t>:</w:t>
      </w:r>
    </w:p>
    <w:p w14:paraId="45B6C8E0" w14:textId="77777777" w:rsidR="00C807F3" w:rsidRPr="00C807F3" w:rsidRDefault="00C807F3" w:rsidP="00C807F3">
      <w:pPr>
        <w:numPr>
          <w:ilvl w:val="0"/>
          <w:numId w:val="11"/>
        </w:numPr>
      </w:pPr>
      <w:r w:rsidRPr="00C807F3">
        <w:rPr>
          <w:b/>
          <w:bCs/>
        </w:rPr>
        <w:t>Mechanisms for handling compliance requests</w:t>
      </w:r>
      <w:r w:rsidRPr="00C807F3">
        <w:t xml:space="preserve"> are clearly outlined. The </w:t>
      </w:r>
      <w:r w:rsidRPr="00C807F3">
        <w:rPr>
          <w:b/>
          <w:bCs/>
        </w:rPr>
        <w:t>Compliance Officer</w:t>
      </w:r>
      <w:r w:rsidRPr="00C807F3">
        <w:t xml:space="preserve"> is responsible for responding to requests from patients, regulators, or external auditors. All compliance reports are generated based on real-time data collected from audit logs and security systems.</w:t>
      </w:r>
    </w:p>
    <w:p w14:paraId="67BAC459" w14:textId="77777777" w:rsidR="00A23AAF" w:rsidRPr="00C807F3" w:rsidRDefault="00A23AAF" w:rsidP="00C807F3"/>
    <w:sectPr w:rsidR="00A23AAF" w:rsidRPr="00C8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C65E7"/>
    <w:multiLevelType w:val="hybridMultilevel"/>
    <w:tmpl w:val="6D2A78FE"/>
    <w:lvl w:ilvl="0" w:tplc="7660A4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108C"/>
    <w:multiLevelType w:val="multilevel"/>
    <w:tmpl w:val="1EF8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113EB"/>
    <w:multiLevelType w:val="multilevel"/>
    <w:tmpl w:val="8E5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92DE2"/>
    <w:multiLevelType w:val="multilevel"/>
    <w:tmpl w:val="0A24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B1E0F"/>
    <w:multiLevelType w:val="multilevel"/>
    <w:tmpl w:val="BBF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22501"/>
    <w:multiLevelType w:val="multilevel"/>
    <w:tmpl w:val="7E24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B9360F"/>
    <w:multiLevelType w:val="multilevel"/>
    <w:tmpl w:val="212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E2098"/>
    <w:multiLevelType w:val="multilevel"/>
    <w:tmpl w:val="364A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55311"/>
    <w:multiLevelType w:val="hybridMultilevel"/>
    <w:tmpl w:val="F7983D5E"/>
    <w:lvl w:ilvl="0" w:tplc="4920E3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B33EC"/>
    <w:multiLevelType w:val="multilevel"/>
    <w:tmpl w:val="385C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536985">
    <w:abstractNumId w:val="0"/>
  </w:num>
  <w:num w:numId="2" w16cid:durableId="1082262448">
    <w:abstractNumId w:val="8"/>
  </w:num>
  <w:num w:numId="3" w16cid:durableId="167911635">
    <w:abstractNumId w:val="4"/>
  </w:num>
  <w:num w:numId="4" w16cid:durableId="113621588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62824420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04454737">
    <w:abstractNumId w:val="7"/>
  </w:num>
  <w:num w:numId="7" w16cid:durableId="19845035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96125929">
    <w:abstractNumId w:val="1"/>
  </w:num>
  <w:num w:numId="9" w16cid:durableId="37296838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309873594">
    <w:abstractNumId w:val="3"/>
  </w:num>
  <w:num w:numId="11" w16cid:durableId="240532368">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AD"/>
    <w:rsid w:val="001E1BCA"/>
    <w:rsid w:val="00231C39"/>
    <w:rsid w:val="00567BAD"/>
    <w:rsid w:val="007D30B4"/>
    <w:rsid w:val="007E6956"/>
    <w:rsid w:val="00A23AAF"/>
    <w:rsid w:val="00AC4F88"/>
    <w:rsid w:val="00C807F3"/>
    <w:rsid w:val="00D13488"/>
    <w:rsid w:val="00DB5E2B"/>
    <w:rsid w:val="00F1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6D91"/>
  <w15:chartTrackingRefBased/>
  <w15:docId w15:val="{5225A702-194E-4C0A-BADA-1B166625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BAD"/>
    <w:rPr>
      <w:rFonts w:eastAsiaTheme="majorEastAsia" w:cstheme="majorBidi"/>
      <w:color w:val="272727" w:themeColor="text1" w:themeTint="D8"/>
    </w:rPr>
  </w:style>
  <w:style w:type="paragraph" w:styleId="Title">
    <w:name w:val="Title"/>
    <w:basedOn w:val="Normal"/>
    <w:next w:val="Normal"/>
    <w:link w:val="TitleChar"/>
    <w:uiPriority w:val="10"/>
    <w:qFormat/>
    <w:rsid w:val="00567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BAD"/>
    <w:pPr>
      <w:spacing w:before="160"/>
      <w:jc w:val="center"/>
    </w:pPr>
    <w:rPr>
      <w:i/>
      <w:iCs/>
      <w:color w:val="404040" w:themeColor="text1" w:themeTint="BF"/>
    </w:rPr>
  </w:style>
  <w:style w:type="character" w:customStyle="1" w:styleId="QuoteChar">
    <w:name w:val="Quote Char"/>
    <w:basedOn w:val="DefaultParagraphFont"/>
    <w:link w:val="Quote"/>
    <w:uiPriority w:val="29"/>
    <w:rsid w:val="00567BAD"/>
    <w:rPr>
      <w:i/>
      <w:iCs/>
      <w:color w:val="404040" w:themeColor="text1" w:themeTint="BF"/>
    </w:rPr>
  </w:style>
  <w:style w:type="paragraph" w:styleId="ListParagraph">
    <w:name w:val="List Paragraph"/>
    <w:basedOn w:val="Normal"/>
    <w:uiPriority w:val="34"/>
    <w:qFormat/>
    <w:rsid w:val="00567BAD"/>
    <w:pPr>
      <w:ind w:left="720"/>
      <w:contextualSpacing/>
    </w:pPr>
  </w:style>
  <w:style w:type="character" w:styleId="IntenseEmphasis">
    <w:name w:val="Intense Emphasis"/>
    <w:basedOn w:val="DefaultParagraphFont"/>
    <w:uiPriority w:val="21"/>
    <w:qFormat/>
    <w:rsid w:val="00567BAD"/>
    <w:rPr>
      <w:i/>
      <w:iCs/>
      <w:color w:val="0F4761" w:themeColor="accent1" w:themeShade="BF"/>
    </w:rPr>
  </w:style>
  <w:style w:type="paragraph" w:styleId="IntenseQuote">
    <w:name w:val="Intense Quote"/>
    <w:basedOn w:val="Normal"/>
    <w:next w:val="Normal"/>
    <w:link w:val="IntenseQuoteChar"/>
    <w:uiPriority w:val="30"/>
    <w:qFormat/>
    <w:rsid w:val="00567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BAD"/>
    <w:rPr>
      <w:i/>
      <w:iCs/>
      <w:color w:val="0F4761" w:themeColor="accent1" w:themeShade="BF"/>
    </w:rPr>
  </w:style>
  <w:style w:type="character" w:styleId="IntenseReference">
    <w:name w:val="Intense Reference"/>
    <w:basedOn w:val="DefaultParagraphFont"/>
    <w:uiPriority w:val="32"/>
    <w:qFormat/>
    <w:rsid w:val="00567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595570">
      <w:bodyDiv w:val="1"/>
      <w:marLeft w:val="0"/>
      <w:marRight w:val="0"/>
      <w:marTop w:val="0"/>
      <w:marBottom w:val="0"/>
      <w:divBdr>
        <w:top w:val="none" w:sz="0" w:space="0" w:color="auto"/>
        <w:left w:val="none" w:sz="0" w:space="0" w:color="auto"/>
        <w:bottom w:val="none" w:sz="0" w:space="0" w:color="auto"/>
        <w:right w:val="none" w:sz="0" w:space="0" w:color="auto"/>
      </w:divBdr>
    </w:div>
    <w:div w:id="177447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Robb</dc:creator>
  <cp:keywords/>
  <dc:description/>
  <cp:lastModifiedBy>Douglas Robb</cp:lastModifiedBy>
  <cp:revision>4</cp:revision>
  <dcterms:created xsi:type="dcterms:W3CDTF">2025-04-28T23:52:00Z</dcterms:created>
  <dcterms:modified xsi:type="dcterms:W3CDTF">2025-04-29T00:27:00Z</dcterms:modified>
</cp:coreProperties>
</file>