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2026-08-21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</w:t>
      </w:r>
      <w:r>
        <w:rPr>
          <w:b/>
        </w:rPr>
        <w:t>VIX</w:t>
      </w:r>
      <w:r>
        <w:rPr/>
        <w:t xml:space="preserve"> and its regime band; the </w:t>
      </w:r>
      <w:r>
        <w:rPr>
          <w:b/>
        </w:rPr>
        <w:t>market regime</w:t>
      </w:r>
      <w:r>
        <w:rPr/>
        <w:t xml:space="preserve"> word</w:t>
        <w:br/>
        <w:t xml:space="preserve">(Rallying, Balanced, Whipsaw, Stressed…); and two dials showing </w:t>
      </w:r>
      <w:r>
        <w:rPr>
          <w:b/>
        </w:rPr>
        <w:t>Day / Week /</w:t>
        <w:br/>
        <w:t>Month</w:t>
      </w:r>
      <w:r>
        <w:rPr/>
        <w:t xml:space="preserve"> for market </w:t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>.</w:t>
      </w:r>
    </w:p>
    <w:p>
      <w:r>
        <w:rPr/>
        <w:t xml:space="preserve">Note it shows VIX but </w:t>
      </w:r>
      <w:r>
        <w:rPr>
          <w:i/>
        </w:rPr>
        <w:t>not</w:t>
      </w:r>
      <w:r>
        <w:rPr/>
        <w:t xml:space="preserve"> SPX or QQQ. That is deliberate. Those prices appear in</w:t>
        <w:br/>
        <w:t>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stays because it is</w:t>
        <w:br/>
        <w:t>excluded from the dealer-row universe by design and cannot appear below.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2E6DB4"/>
        </w:rPr>
        <w:t>Sector &amp; Industry</w:t>
      </w:r>
      <w:r>
        <w:rPr/>
        <w:t xml:space="preserve"> and</w:t>
        <w:br/>
      </w:r>
      <w:r>
        <w:rPr>
          <w:color w:val="2E6DB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2E6DB4"/>
        </w:rPr>
        <w:t>Momentum</w:t>
      </w:r>
      <w:r>
        <w:rPr/>
        <w:t xml:space="preserve"> or </w:t>
      </w:r>
      <w:r>
        <w:rPr>
          <w:color w:val="2E6DB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Trade Analyzer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