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2026-08-21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Windows 10 or 11.</w:t>
      </w:r>
      <w:r>
        <w:t xml:space="preserve"> The app is Windows-first — the launchers are </w:t>
      </w:r>
      <w:r>
        <w:rPr>
          <w:rFonts w:ascii="Consolas" w:hAnsi="Consolas"/>
          <w:color w:val="334455"/>
          <w:sz w:val="19"/>
        </w:rPr>
        <w:t>.bat</w:t>
      </w:r>
      <w:r>
        <w:t xml:space="preserve"> files,</w:t>
        <w:br/>
        <w:t xml:space="preserve">  the alert pop-ups use Windows notifications, and the data backbone (Memurai) is a</w:t>
        <w:br/>
        <w:t xml:space="preserve">  Windows service.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 environment</w:t>
        <w:br/>
        <w:t xml:space="preserve">  the launchers expect and installs everything:</w:t>
      </w:r>
    </w:p>
    <w:p>
      <w:r>
        <w:rPr>
          <w:rFonts w:ascii="Consolas" w:hAnsi="Consolas"/>
          <w:color w:val="334455"/>
          <w:sz w:val="19"/>
        </w:rPr>
        <w:t>powershell</w:t>
        <w:br/>
        <w:t xml:space="preserve">  python -m venv .venv</w:t>
        <w:br/>
        <w:t xml:space="preserve">  .\.venv\Scripts\python -m pip install -r requirements.txt</w:t>
      </w:r>
    </w:p>
    <w:p>
      <w:pPr>
        <w:pStyle w:val="ListBullet"/>
      </w:pPr>
      <w:r>
        <w:rPr>
          <w:b/>
        </w:rPr>
        <w:t>Memurai running.</w:t>
      </w:r>
      <w:r>
        <w:t xml:space="preserve"> Memurai is a Windows version of Redis — the local "backbone"</w:t>
        <w:br/>
        <w:t xml:space="preserve">  the app's parts talk through. It installs as a </w:t>
      </w:r>
      <w:r>
        <w:rPr>
          <w:b/>
        </w:rPr>
        <w:t>Windows service on port 6379</w:t>
      </w:r>
      <w:r>
        <w:t>;</w:t>
        <w:br/>
        <w:t xml:space="preserve">  start it from </w:t>
      </w:r>
      <w:r>
        <w:rPr>
          <w:b/>
        </w:rPr>
        <w:t>services.msc</w:t>
      </w:r>
      <w:r>
        <w:t xml:space="preserve"> if it isn't already running. </w:t>
      </w:r>
      <w:r>
        <w:rPr>
          <w:b/>
        </w:rPr>
        <w:t>Nothing works</w:t>
        <w:br/>
        <w:t xml:space="preserve">  without it</w:t>
      </w:r>
      <w:r>
        <w:t xml:space="preserve"> — every page will just say "Waiting for … service."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rFonts w:ascii="Consolas" w:hAnsi="Consolas"/>
          <w:color w:val="334455"/>
          <w:sz w:val="19"/>
        </w:rPr>
        <w:t>http://127.0.0.1:8500</w:t>
      </w:r>
      <w:r>
        <w:t>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(Memurai),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Opens the gateway, the six domain services, and the web app in </w:t>
            </w:r>
            <w:r>
              <w:rPr>
                <w:b/>
              </w:rPr>
              <w:t>eight separate console windows</w:t>
            </w:r>
            <w:r>
              <w:rPr/>
              <w:t>, then opens your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Same eight processes, but as </w:t>
            </w:r>
            <w:r>
              <w:rPr>
                <w:b/>
              </w:rPr>
              <w:t>eight tabs in one Windows Terminal window</w:t>
            </w:r>
            <w:r>
              <w:rPr/>
              <w:t xml:space="preserve"> (less desktop clutter; requires Windows Terminal).</w:t>
            </w:r>
          </w:p>
        </w:tc>
      </w:tr>
    </w:tbl>
    <w:p/>
    <w:p>
      <w:r>
        <w:rPr/>
        <w:t>After the windows finish loading, the app is available at: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Memurai (Redis)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rail, or run </w:t>
      </w:r>
      <w:r>
        <w:rPr>
          <w:rFonts w:ascii="Consolas" w:hAnsi="Consolas"/>
          <w:color w:val="334455"/>
          <w:sz w:val="19"/>
        </w:rPr>
        <w:t>stop_all.bat</w:t>
      </w:r>
      <w:r>
        <w:rPr/>
        <w:t>. This stops the</w:t>
        <w:br/>
        <w:t>gateway, the six services, and the web app. (Memurai is intentionally left</w:t>
        <w:br/>
        <w:t>running — it's a shared Windows service.)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and a red-outlined </w:t>
      </w:r>
      <w:r>
        <w:rPr>
          <w:b/>
        </w:rPr>
        <w:t>Stop All Services</w:t>
      </w:r>
      <w:r>
        <w:rPr/>
        <w:t xml:space="preserve"> button. They are</w:t>
        <w:br/>
        <w:t>kept apart because none of them is a step in a trading workflow, and the</w:t>
        <w:br/>
        <w:t>destructive one is placed last so overshooting Settings cannot land on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>, and the Technical and API references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</w:t>
            </w:r>
            <w:r>
              <w:rPr>
                <w:b/>
              </w:rPr>
              <w:t>VIX</w:t>
            </w:r>
            <w:r>
              <w:rPr/>
              <w:t xml:space="preserve"> and its band, the </w:t>
            </w:r>
            <w:r>
              <w:rPr>
                <w:b/>
              </w:rPr>
              <w:t>market regime</w:t>
            </w:r>
            <w:r>
              <w:rPr/>
              <w:t xml:space="preserve"> word, and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</w:tbl>
    <w:p/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VIX but not SPX or QQQ.</w:t>
      </w:r>
      <w:r>
        <w:t xml:space="preserve"> Those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screen is three numbered steps down a fixed left-hand column — </w:t>
      </w:r>
      <w:r>
        <w:rPr>
          <w:b/>
        </w:rPr>
        <w:t>① Strategy</w:t>
      </w:r>
      <w:r>
        <w:rPr/>
        <w:t>,</w:t>
        <w:br/>
      </w:r>
      <w:r>
        <w:rPr>
          <w:b/>
        </w:rPr>
        <w:t>② Symbol</w:t>
      </w:r>
      <w:r>
        <w:rPr/>
        <w:t xml:space="preserve">, </w:t>
      </w:r>
      <w:r>
        <w:rPr>
          <w:b/>
        </w:rPr>
        <w:t>③ Legs</w:t>
      </w:r>
      <w:r>
        <w:rPr/>
        <w:t xml:space="preserve"> — with the results (six metric cards over the P&amp;L matrix)</w:t>
        <w:br/>
        <w:t>in the column beside them. It wears its own near-black palette rather than the</w:t>
        <w:br/>
        <w:t>app-wide navy.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① 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(call/put).</w:t>
        <w:br/>
        <w:t xml:space="preserve">  Picking one fills the leg editor with sensible at-the-money strikes. Underneath,</w:t>
        <w:br/>
        <w:t xml:space="preserve">  tag chips say whether the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</w:t>
        <w:br/>
        <w:t xml:space="preserve">  many legs it has, and its lean (bullish, range, pin, defined risk…), followed by a</w:t>
        <w:br/>
        <w:t xml:space="preserve">  one-line description of what the trade is betting on. Only the credit/debit chip is</w:t>
        <w:br/>
        <w:t xml:space="preserve">  coloured — the rest are descriptions, not recommendations.</w:t>
      </w:r>
    </w:p>
    <w:p>
      <w:pPr>
        <w:pStyle w:val="ListBullet"/>
      </w:pPr>
      <w:r>
        <w:rPr>
          <w:b/>
        </w:rPr>
        <w:t>② Symbol</w:t>
      </w:r>
      <w:r>
        <w:t xml:space="preserve"> — type a ticker and press Enter or tab out (or press </w:t>
      </w:r>
      <w:r>
        <w:rPr>
          <w:b/>
        </w:rPr>
        <w:t>Load chain</w:t>
      </w:r>
      <w:r>
        <w:t>);</w:t>
        <w:br/>
        <w:t xml:space="preserve">  a full-screen wait overlay shows while the chain loads. The pill in the title bar</w:t>
        <w:br/>
        <w:t xml:space="preserve">  reads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</w:t>
        <w:br/>
        <w:t xml:space="preserve">  line under the buttons reports how many strikes and expiries arrived. The same</w:t>
        <w:br/>
        <w:t xml:space="preserve">  frame holds </w:t>
      </w:r>
      <w:r>
        <w:rPr>
          <w:b/>
        </w:rPr>
        <w:t>Spot</w:t>
      </w:r>
      <w:r>
        <w:t xml:space="preserve">, </w:t>
      </w:r>
      <w:r>
        <w:rPr>
          <w:b/>
        </w:rPr>
        <w:t>Price</w:t>
      </w:r>
      <w:r>
        <w:t xml:space="preserve">, </w:t>
      </w:r>
      <w:r>
        <w:rPr>
          <w:b/>
        </w:rPr>
        <w:t>IV %</w:t>
      </w:r>
      <w:r>
        <w:t xml:space="preserve">, </w:t>
      </w:r>
      <w:r>
        <w:rPr>
          <w:b/>
        </w:rPr>
        <w:t>Rate %</w:t>
      </w:r>
      <w:r>
        <w:t xml:space="preserve">, </w:t>
      </w:r>
      <w:r>
        <w:rPr>
          <w:b/>
        </w:rPr>
        <w:t>IV Δ %</w:t>
      </w:r>
      <w:r>
        <w:t xml:space="preserve">, </w:t>
      </w:r>
      <w:r>
        <w:rPr>
          <w:b/>
        </w:rPr>
        <w:t>Contracts</w:t>
      </w:r>
      <w:r>
        <w:t>,</w:t>
        <w:br/>
        <w:t xml:space="preserve">  </w:t>
      </w:r>
      <w:r>
        <w:rPr>
          <w:b/>
        </w:rPr>
        <w:t>Strikes</w:t>
      </w:r>
      <w:r>
        <w:t xml:space="preserve"> (how many real chain strikes either side of spot the matrix spans,</w:t>
        <w:br/>
        <w:t xml:space="preserve">  default 24) and </w:t>
      </w:r>
      <w:r>
        <w:rPr>
          <w:b/>
        </w:rPr>
        <w:t>Expiry</w:t>
      </w:r>
      <w:r>
        <w:t xml:space="preserve">. The top-level </w:t>
      </w:r>
      <w:r>
        <w:rPr>
          <w:b/>
        </w:rPr>
        <w:t>Expiry</w:t>
      </w:r>
      <w:r>
        <w:t xml:space="preserve"> propagates to </w:t>
      </w:r>
      <w:r>
        <w:rPr>
          <w:i/>
        </w:rPr>
        <w:t>every</w:t>
      </w:r>
      <w:r>
        <w:t xml:space="preserve"> leg.</w:t>
        <w:br/>
        <w:t xml:space="preserve">  </w:t>
      </w:r>
      <w:r>
        <w:rPr>
          <w:b/>
        </w:rPr>
        <w:t>IV Update</w:t>
      </w:r>
      <w:r>
        <w:t xml:space="preserve"> implies the volatility from the traded contract's own mark, the way</w:t>
        <w:br/>
        <w:t xml:space="preserve">  ThinkorSwim does, falling back to the chain's at-the-money volatility before you</w:t>
        <w:br/>
        <w:t xml:space="preserve">  have picked a strike.</w:t>
      </w:r>
    </w:p>
    <w:p>
      <w:pPr>
        <w:pStyle w:val="ListBullet"/>
      </w:pPr>
      <w:r>
        <w:rPr>
          <w:b/>
        </w:rPr>
        <w:t>③ Legs</w:t>
      </w:r>
      <w:r>
        <w:t xml:space="preserve"> — an editable </w:t>
      </w:r>
      <w:r>
        <w:rPr>
          <w:b/>
        </w:rPr>
        <w:t>card per leg</w:t>
      </w:r>
      <w:r>
        <w:t xml:space="preserve">: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Qty</w:t>
      </w:r>
      <w:r>
        <w:t xml:space="preserve">, </w:t>
      </w:r>
      <w:r>
        <w:rPr>
          <w:b/>
        </w:rPr>
        <w:t>Premium</w:t>
      </w:r>
      <w:r>
        <w:t xml:space="preserve">, and the leg's </w:t>
      </w:r>
      <w:r>
        <w:rPr>
          <w:b/>
        </w:rPr>
        <w:t>Delta</w:t>
      </w:r>
      <w:r>
        <w:br/>
        <w:t xml:space="preserve">  read straight from the option chain.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 Each leg carries its </w:t>
      </w:r>
      <w:r>
        <w:rPr>
          <w:b/>
        </w:rPr>
        <w:t>own expiry</w:t>
      </w:r>
      <w:r>
        <w:t xml:space="preserve"> (so</w:t>
        <w:br/>
        <w:t xml:space="preserve">  </w:t>
      </w:r>
      <w:r>
        <w:rPr>
          <w:b/>
        </w:rPr>
        <w:t>calendars/diagonals</w:t>
      </w:r>
      <w:r>
        <w:t xml:space="preserve"> price each leg on its own clock) and its own quantity (so a</w:t>
        <w:br/>
        <w:t xml:space="preserve">  1-2-1 butterfly body trades at 2×). </w:t>
      </w:r>
      <w:r>
        <w:rPr>
          <w:b/>
        </w:rPr>
        <w:t>Fetch Premiums</w:t>
      </w:r>
      <w:r>
        <w:t xml:space="preserve"> fills each leg's premium</w:t>
        <w:br/>
        <w:t xml:space="preserve">  from the chain.</w:t>
      </w:r>
    </w:p>
    <w:p>
      <w:pPr>
        <w:pStyle w:val="ListBullet"/>
      </w:pPr>
      <w:r>
        <w:t xml:space="preserve">The frame's header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All three update as you edit.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</w:t>
        <w:br/>
        <w:t xml:space="preserve">  than zero — net premium is blank until every leg is priced, and max loss is blank</w:t>
        <w:br/>
        <w:t xml:space="preserve">  when the loss has no bound (a naked call) or cannot be settled on one date.</w:t>
        <w:br/>
        <w:t xml:space="preserve">  </w:t>
      </w:r>
      <w:r>
        <w:rPr>
          <w:b/>
        </w:rPr>
        <w:t>Delta</w:t>
      </w:r>
      <w:r>
        <w:t xml:space="preserve"> shows a dash the same way whenever the chain carries no Greeks, which is</w:t>
        <w:br/>
        <w:t xml:space="preserve">  normal outside regular trading hours.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the P&amp;L cards and the</w:t>
        <w:br/>
        <w:t xml:space="preserve">scenario/Greeks views without re-entering it.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reloading the </w:t>
      </w:r>
      <w:r>
        <w:rPr>
          <w:b/>
        </w:rPr>
        <w:t>same</w:t>
      </w:r>
      <w:r>
        <w:rPr/>
        <w:t xml:space="preserve"> one</w:t>
        <w:br/>
        <w:t>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one </w:t>
      </w:r>
      <w:r>
        <w:rPr>
          <w:b/>
        </w:rPr>
        <w:t>card</w:t>
      </w:r>
      <w:r>
        <w:rPr/>
        <w:t xml:space="preserve"> per leg with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Expiry</w:t>
      </w:r>
      <w:r>
        <w:rPr/>
        <w:t>,</w:t>
        <w:br/>
      </w:r>
      <w:r>
        <w:rPr>
          <w:b/>
        </w:rPr>
        <w:t>Strike</w:t>
      </w:r>
      <w:r>
        <w:rPr/>
        <w:t xml:space="preserve"> and </w:t>
      </w:r>
      <w:r>
        <w:rPr>
          <w:b/>
        </w:rPr>
        <w:t>Qty</w:t>
      </w:r>
      <w:r>
        <w:rPr/>
        <w:t xml:space="preserve">, plus </w:t>
      </w:r>
      <w:r>
        <w:rPr>
          <w:b/>
        </w:rPr>
        <w:t>Add leg</w:t>
      </w:r>
      <w:r>
        <w:rPr/>
        <w:t xml:space="preserve"> and a remove ✕ that locks at the last leg</w:t>
        <w:br/>
        <w:t>(a position with no legs has nothing to simulate). The Simulator's snapshot carries</w:t>
        <w:br/>
        <w:t>no Greeks, so its leg cards show no Delta column — the Calculator's do. Every tab</w:t>
        <w:br/>
        <w:t xml:space="preserve">below operates on the </w:t>
      </w:r>
      <w:r>
        <w:rPr>
          <w:b/>
        </w:rPr>
        <w:t>netted</w:t>
      </w:r>
      <w:r>
        <w:rPr/>
        <w:t xml:space="preserve"> 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metric cards</w:t>
        <w:br/>
        <w:t xml:space="preserve">+ P&amp;L matrix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Trade Analyzer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</w:t>
      </w:r>
    </w:p>
    <w:p>
      <w:r>
        <w:rPr/>
        <w:t xml:space="preserve">On-demand analysis of a single symbol. Type a </w:t>
      </w:r>
      <w:r>
        <w:rPr>
          <w:b/>
        </w:rPr>
        <w:t>Symbol</w:t>
      </w:r>
      <w:r>
        <w:rPr/>
        <w:t xml:space="preserve"> and press </w:t>
      </w:r>
      <w:r>
        <w:rPr>
          <w:b/>
        </w:rPr>
        <w:t>Analyze</w:t>
      </w:r>
      <w:r>
        <w:rPr/>
        <w:br/>
        <w:t>(tabbing out of the field does it too).</w:t>
      </w:r>
    </w:p>
    <w:p>
      <w:r>
        <w:rPr>
          <w:b/>
        </w:rPr>
        <w:t>Two more buttons sit beside Analyze, and each opens a separate screen in a new</w:t>
        <w:br/>
        <w:t>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A full standalone report for the symbol — technicals, fundamentals and short interest, plus options analytics (at-the-money IV, implied move, max pain, 25-delta skew, IV term structure, 30-day constant-maturity IV, net GEX and flip, open-interest walls) and an IV/RV rank.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same digest formatted as a </w:t>
            </w:r>
            <w:r>
              <w:rPr>
                <w:b/>
              </w:rPr>
              <w:t>copyable chat prompt</w:t>
            </w:r>
            <w:r>
              <w:rPr/>
              <w:t xml:space="preserve"> you can paste into an AI assistant. It makes </w:t>
            </w:r>
            <w:r>
              <w:rPr>
                <w:b/>
              </w:rPr>
              <w:t>no</w:t>
            </w:r>
            <w:r>
              <w:rPr/>
              <w:t xml:space="preserve"> API call itself, so it costs nothing.</w:t>
            </w:r>
          </w:p>
        </w:tc>
      </w:tr>
    </w:tbl>
    <w:p/>
    <w:p>
      <w:pPr>
        <w:pStyle w:val="IntenseQuote"/>
      </w:pPr>
      <w:r>
        <w:rPr/>
        <w:t>IV rank reads "building" until enough daily snapshots have accumulated for that</w:t>
        <w:br/>
        <w:t>symbol. That is expected on a name you have just started analyzing.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with the symbol, price, bias, and volume.</w:t>
      </w:r>
    </w:p>
    <w:p>
      <w:pPr>
        <w:pStyle w:val="ListBullet"/>
      </w:pPr>
      <w:r>
        <w:rPr>
          <w:b/>
        </w:rPr>
        <w:t>Two verdict cards side by side</w:t>
      </w:r>
      <w:r>
        <w:t xml:space="preserve"> — </w:t>
      </w:r>
      <w:r>
        <w:rPr>
          <w:b/>
        </w:rPr>
        <w:t>Position</w:t>
      </w:r>
      <w:r>
        <w:t xml:space="preserve"> (1–8 weeks) and </w:t>
      </w:r>
      <w:r>
        <w:rPr>
          <w:b/>
        </w:rPr>
        <w:t>Investor</w:t>
      </w:r>
      <w:r>
        <w:br/>
        <w:t xml:space="preserve">  (months+):</w:t>
      </w:r>
    </w:p>
    <w:p>
      <w:pPr>
        <w:pStyle w:val="ListBullet"/>
      </w:pPr>
      <w:r>
        <w:rPr>
          <w:b/>
        </w:rPr>
        <w:t>Position (1–8 weeks)</w:t>
      </w:r>
      <w:r>
        <w:t xml:space="preserve"> is </w:t>
      </w:r>
      <w:r>
        <w:rPr>
          <w:b/>
        </w:rPr>
        <w:t>backtested</w:t>
      </w:r>
      <w:r>
        <w:t>. Rather than a hand-tuned score, it</w:t>
        <w:br/>
        <w:t xml:space="preserve">    ranks the stock on a set of price/volume factors that were </w:t>
      </w:r>
      <w:r>
        <w:rPr>
          <w:i/>
        </w:rPr>
        <w:t>validated against real</w:t>
        <w:br/>
        <w:t xml:space="preserve">    forward returns</w:t>
      </w:r>
      <w:r>
        <w:t xml:space="preserve"> (which factors matter, and by how much, was learned from history —</w:t>
        <w:br/>
        <w:t xml:space="preserve">    not guessed), then places it in a </w:t>
      </w:r>
      <w:r>
        <w:rPr>
          <w:b/>
        </w:rPr>
        <w:t>calibrated band</w:t>
      </w:r>
      <w:r>
        <w:t>. The headline shows the</w:t>
        <w:br/>
        <w:t xml:space="preserve">    Buy / Hold / Sell verdict for that band plus what the band has </w:t>
      </w:r>
      <w:r>
        <w:rPr>
          <w:i/>
        </w:rPr>
        <w:t>historically</w:t>
      </w:r>
      <w:r>
        <w:br/>
        <w:t xml:space="preserve">    delivered: a band </w:t>
      </w:r>
      <w:r>
        <w:rPr>
          <w:b/>
        </w:rPr>
        <w:t>percentile</w:t>
      </w:r>
      <w:r>
        <w:t xml:space="preserve">, an </w:t>
      </w:r>
      <w:r>
        <w:rPr>
          <w:b/>
        </w:rPr>
        <w:t>expected return</w:t>
      </w:r>
      <w:r>
        <w:t xml:space="preserve"> over the model's horizon</w:t>
        <w:br/>
        <w:t xml:space="preserve">    (≈ 4 weeks), and how often names in that band </w:t>
      </w:r>
      <w:r>
        <w:rPr>
          <w:b/>
        </w:rPr>
        <w:t>beat the S&amp;P 500</w:t>
      </w:r>
      <w:r>
        <w:t xml:space="preserve"> — e.g.</w:t>
        <w:br/>
        <w:t xml:space="preserve">    </w:t>
      </w:r>
      <w:r>
        <w:rPr>
          <w:i/>
        </w:rPr>
        <w:t>"90th pctile · +1.3% / 20d · 52% beat-SPY"</w:t>
      </w:r>
      <w:r>
        <w:t xml:space="preserve">. Open </w:t>
      </w:r>
      <w:r>
        <w:rPr>
          <w:b/>
        </w:rPr>
        <w:t>"Why — validated factors"</w:t>
      </w:r>
      <w:r>
        <w:t xml:space="preserve"> to</w:t>
        <w:br/>
        <w:t xml:space="preserve">    see each factor's contribution (momentum, trend quality, relative strength,</w:t>
        <w:br/>
        <w:t xml:space="preserve">    volatility, turnover…) and the </w:t>
      </w:r>
      <w:r>
        <w:rPr>
          <w:b/>
        </w:rPr>
        <w:t>model's own track record</w:t>
      </w:r>
      <w:r>
        <w:t xml:space="preserve"> (its version date and</w:t>
        <w:br/>
        <w:t xml:space="preserve">    out-of-sample accuracy). The previous hand-tuned verdict is still available under a</w:t>
        <w:br/>
        <w:t xml:space="preserve">    collapsed </w:t>
      </w:r>
      <w:r>
        <w:rPr>
          <w:b/>
        </w:rPr>
        <w:t>"Legacy heuristic"</w:t>
      </w:r>
      <w:r>
        <w:t xml:space="preserve"> section for comparison. </w:t>
      </w:r>
      <w:r>
        <w:rPr>
          <w:i/>
        </w:rPr>
        <w:t>Honest note:</w:t>
      </w:r>
      <w:r>
        <w:t xml:space="preserve"> the edge is</w:t>
        <w:br/>
        <w:t xml:space="preserve">    real but </w:t>
      </w:r>
      <w:r>
        <w:rPr>
          <w:b/>
        </w:rPr>
        <w:t>small and regime-dependent</w:t>
      </w:r>
      <w:r>
        <w:t xml:space="preserve"> — treat it as one weighted input, not a</w:t>
        <w:br/>
        <w:t xml:space="preserve">    guarantee. The </w:t>
      </w:r>
      <w:r>
        <w:rPr>
          <w:b/>
        </w:rPr>
        <w:t>Investor (months+)</w:t>
      </w:r>
      <w:r>
        <w:t xml:space="preserve"> validation is deferred (it needs fundamentals</w:t>
        <w:br/>
        <w:t xml:space="preserve">    history), so that card is unchanged.</w:t>
      </w:r>
    </w:p>
    <w:p>
      <w:pPr>
        <w:pStyle w:val="ListBullet"/>
      </w:pPr>
      <w:r>
        <w:rPr>
          <w:b/>
        </w:rPr>
        <w:t>Investor (months+)</w:t>
      </w:r>
      <w:r>
        <w:rPr/>
        <w:t xml:space="preserve"> shows a Buy / Hold / Sell verdict (color-coded), a score,</w:t>
        <w:br/>
        <w:t xml:space="preserve">    the top reasons, any hard "gates" that fired, and an expandable factor breakdown.</w:t>
      </w:r>
      <w:r>
        <w:rPr/>
        <w:br/>
      </w:r>
      <w:r>
        <w:rPr>
          <w:b/>
        </w:rPr>
        <w:t>The Markov Forecast card was removed in June 2026</w:t>
      </w:r>
      <w:r>
        <w:rPr/>
        <w:t xml:space="preserve"> and no longer appears on</w:t>
        <w:br/>
        <w:t xml:space="preserve">this page. It projected the </w:t>
      </w:r>
      <w:r>
        <w:rPr>
          <w:i/>
        </w:rPr>
        <w:t>legacy</w:t>
      </w:r>
      <w:r>
        <w:rPr/>
        <w:t xml:space="preserve"> technical-momentum score, which contradicted</w:t>
        <w:br/>
        <w:t>the validated Position read sitting beside it. The underlying forecast is still</w:t>
        <w:br/>
        <w:t>computed and still reaches the data feed, but nothing on this screen renders it.</w:t>
      </w:r>
      <w:r>
        <w:rPr/>
        <w:br/>
      </w:r>
    </w:p>
    <w:p>
      <w:pPr>
        <w:pStyle w:val="ListBullet"/>
      </w:pPr>
      <w:r>
        <w:rPr/>
        <w:t xml:space="preserve">An </w:t>
      </w:r>
      <w:r>
        <w:rPr>
          <w:b/>
        </w:rPr>
        <w:t>MTF EMA Alignment</w:t>
      </w:r>
      <w:r>
        <w:rPr/>
        <w:t xml:space="preserve"> card (per-timeframe trend agreement: Daily, 4H, 1H, 15m,</w:t>
        <w:br/>
        <w:t xml:space="preserve">  5m, 1m).</w:t>
      </w:r>
    </w:p>
    <w:p>
      <w:pPr>
        <w:pStyle w:val="ListBullet"/>
      </w:pPr>
      <w:r>
        <w:t xml:space="preserve">A </w:t>
      </w:r>
      <w:r>
        <w:rPr>
          <w:b/>
        </w:rPr>
        <w:t>Momentum</w:t>
      </w:r>
      <w:r>
        <w:t xml:space="preserve"> strip (RSI, ADX, MACD histogram, VWAP, relative volume).</w:t>
      </w:r>
    </w:p>
    <w:p>
      <w:pPr>
        <w:pStyle w:val="ListBullet"/>
      </w:pPr>
      <w:r>
        <w:t xml:space="preserve">A </w:t>
      </w:r>
      <w:r>
        <w:rPr>
          <w:b/>
        </w:rPr>
        <w:t>Sector</w:t>
      </w:r>
      <w:r>
        <w:t xml:space="preserve"> card and, when available, a </w:t>
      </w:r>
      <w:r>
        <w:rPr>
          <w:b/>
        </w:rPr>
        <w:t>Fundamentals</w:t>
      </w:r>
      <w:r>
        <w:t xml:space="preserve"> card (P/E, PEG, revenue</w:t>
        <w:br/>
        <w:t xml:space="preserve">  &amp; EPS growth, ROE, margin trend).</w:t>
      </w:r>
    </w:p>
    <w:p>
      <w:r>
        <w:rPr/>
        <w:t>The analysis persists as you navigate away and back.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a 09:28 ET morning checkpoint, then every 30 minutes within an</w:t>
        <w:br/>
        <w:t xml:space="preserve">entry window of </w:t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four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Memurai, the Schwab gateway, the six services, and the web</w:t>
        <w:br/>
        <w:t xml:space="preserve">  app itself, each with Online/Offline and its tier. The gateway's card also shows</w:t>
        <w:br/>
        <w:t xml:space="preserve"> 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Memurai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 (there is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six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 xml:space="preserve">you confirm, by design. Memurai is left running. Re-launch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start_all_wt.bat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