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User Guide</w:t>
      </w:r>
    </w:p>
    <w:p>
      <w:r>
        <w:rPr>
          <w:i/>
          <w:color w:val="5B6678"/>
          <w:sz w:val="18"/>
        </w:rPr>
        <w:t>WebGUI Trading with Schwab · Generated 2026-08-17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WebGUI Trading with Schwab</w:t>
      </w:r>
      <w:r>
        <w:rPr/>
        <w:t xml:space="preserve"> is a single, browser-based control center for a</w:t>
        <w:br/>
        <w:t>Charles Schwab options-and-equities trading workflow. It replaces a collection of</w:t>
        <w:br/>
        <w:t>older desktop and dashboard tools with one web app you open in your browser at</w:t>
        <w:br/>
      </w:r>
      <w:r>
        <w:rPr>
          <w:b/>
        </w:rPr>
        <w:t>http://127.0.0.1:8500</w:t>
      </w:r>
      <w:r>
        <w:rPr/>
        <w:t>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single-user, local application.</w:t>
      </w:r>
      <w:r>
        <w:rPr/>
        <w:t xml:space="preserve"> It runs on your own machine and</w:t>
        <w:br/>
        <w:t>talks to Schwab through a local gateway. There are no accounts to log into in</w:t>
        <w:br/>
        <w:t>the web app itself.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Windows 10 or 11.</w:t>
      </w:r>
      <w:r>
        <w:t xml:space="preserve"> The app is Windows-first — the launchers are </w:t>
      </w:r>
      <w:r>
        <w:rPr>
          <w:rFonts w:ascii="Consolas" w:hAnsi="Consolas"/>
          <w:color w:val="334455"/>
          <w:sz w:val="19"/>
        </w:rPr>
        <w:t>.bat</w:t>
      </w:r>
      <w:r>
        <w:t xml:space="preserve"> files,</w:t>
        <w:br/>
        <w:t xml:space="preserve">  the alert pop-ups use Windows notifications, and the data backbone (Memurai) is a</w:t>
        <w:br/>
        <w:t xml:space="preserve">  Windows service.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 environment</w:t>
        <w:br/>
        <w:t xml:space="preserve">  the launchers expect and installs everything:</w:t>
      </w:r>
    </w:p>
    <w:p>
      <w:r>
        <w:rPr>
          <w:rFonts w:ascii="Consolas" w:hAnsi="Consolas"/>
          <w:color w:val="334455"/>
          <w:sz w:val="19"/>
        </w:rPr>
        <w:t>powershell</w:t>
        <w:br/>
        <w:t xml:space="preserve">  python -m venv .venv</w:t>
        <w:br/>
        <w:t xml:space="preserve">  .\.venv\Scripts\python -m pip install -r requirements.txt</w:t>
      </w:r>
    </w:p>
    <w:p>
      <w:pPr>
        <w:pStyle w:val="ListBullet"/>
      </w:pPr>
      <w:r>
        <w:rPr>
          <w:b/>
        </w:rPr>
        <w:t>Memurai running.</w:t>
      </w:r>
      <w:r>
        <w:t xml:space="preserve"> Memurai is a Windows version of Redis — the local "backbone"</w:t>
        <w:br/>
        <w:t xml:space="preserve">  the app's parts talk through. It installs as a </w:t>
      </w:r>
      <w:r>
        <w:rPr>
          <w:b/>
        </w:rPr>
        <w:t>Windows service on port 6379</w:t>
      </w:r>
      <w:r>
        <w:t>;</w:t>
        <w:br/>
        <w:t xml:space="preserve">  start it from </w:t>
      </w:r>
      <w:r>
        <w:rPr>
          <w:b/>
        </w:rPr>
        <w:t>services.msc</w:t>
      </w:r>
      <w:r>
        <w:t xml:space="preserve"> if it isn't already running. </w:t>
      </w:r>
      <w:r>
        <w:rPr>
          <w:b/>
        </w:rPr>
        <w:t>Nothing works</w:t>
        <w:br/>
        <w:t xml:space="preserve">  without it</w:t>
      </w:r>
      <w:r>
        <w:t xml:space="preserve"> — every page will just say "Waiting for … service."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rFonts w:ascii="Consolas" w:hAnsi="Consolas"/>
          <w:color w:val="334455"/>
          <w:sz w:val="19"/>
        </w:rPr>
        <w:t>http://127.0.0.1:8500</w:t>
      </w:r>
      <w:r>
        <w:t>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(Memurai),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  <w:t xml:space="preserve">and </w:t>
      </w:r>
      <w:r>
        <w:rPr>
          <w:b/>
        </w:rPr>
        <w:t>8500</w:t>
      </w:r>
      <w:r>
        <w:rPr/>
        <w:t xml:space="preserve"> (the web app). If another program is already using one of them, the</w:t>
        <w:br/>
        <w:t>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Opens the gateway, the six domain services, and the web app in </w:t>
            </w:r>
            <w:r>
              <w:rPr>
                <w:b/>
              </w:rPr>
              <w:t>eight separate console windows</w:t>
            </w:r>
            <w:r>
              <w:rPr/>
              <w:t>, then opens your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Same eight processes, but as </w:t>
            </w:r>
            <w:r>
              <w:rPr>
                <w:b/>
              </w:rPr>
              <w:t>eight tabs in one Windows Terminal window</w:t>
            </w:r>
            <w:r>
              <w:rPr/>
              <w:t xml:space="preserve"> (less desktop clutter; requires Windows Terminal).</w:t>
            </w:r>
          </w:p>
        </w:tc>
      </w:tr>
    </w:tbl>
    <w:p/>
    <w:p>
      <w:r>
        <w:rPr/>
        <w:t>After the windows finish loading, the app is available at: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http://127.0.0.1:8500</w:t>
      </w:r>
    </w:p>
    <w:p>
      <w:r>
        <w:rPr/>
        <w:t>The browser usually opens automatically. If it does not, open that address</w:t>
        <w:br/>
        <w:t>yourself.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Memurai (Redis)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rail, or run </w:t>
      </w:r>
      <w:r>
        <w:rPr>
          <w:rFonts w:ascii="Consolas" w:hAnsi="Consolas"/>
          <w:color w:val="334455"/>
          <w:sz w:val="19"/>
        </w:rPr>
        <w:t>stop_all.bat</w:t>
      </w:r>
      <w:r>
        <w:rPr/>
        <w:t>. This stops the</w:t>
        <w:br/>
        <w:t>gateway, the six services, and the web app. (Memurai is intentionally left</w:t>
        <w:br/>
        <w:t>running — it's a shared Windows service.)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and a red-outlined </w:t>
      </w:r>
      <w:r>
        <w:rPr>
          <w:b/>
        </w:rPr>
        <w:t>Stop All Services</w:t>
      </w:r>
      <w:r>
        <w:rPr/>
        <w:t xml:space="preserve"> button. They are</w:t>
        <w:br/>
        <w:t>kept apart because none of them is a step in a trading workflow, and the</w:t>
        <w:br/>
        <w:t>destructive one is placed last so overshooting Settings cannot land on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>, and the Technical and API references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</w:t>
      </w:r>
      <w:r>
        <w:rPr>
          <w:b/>
        </w:rPr>
        <w:t>This is the app's landing page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here. It is also the group's first tab, so</w:t>
        <w:br/>
        <w:t xml:space="preserve">clicking </w:t>
      </w:r>
      <w:r>
        <w:rPr>
          <w:b/>
        </w:rPr>
        <w:t>Trend &amp; Sentiment</w:t>
      </w:r>
      <w:r>
        <w:rPr/>
        <w:t xml:space="preserve"> in the rail lands here.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Four frames —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 </w:t>
      </w:r>
      <w:r>
        <w:rPr>
          <w:b/>
        </w:rPr>
        <w:t>Countries</w:t>
      </w:r>
      <w:r>
        <w:t xml:space="preserve"> —</w:t>
        <w:br/>
        <w:t xml:space="preserve">  re-order themselves by the day's move. Every other frame keeps its curated order</w:t>
        <w:br/>
        <w:t xml:space="preserve"> 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</w:t>
      </w:r>
      <w:r>
        <w:rPr>
          <w:b/>
        </w:rPr>
        <w:t>contrarian</w:t>
      </w:r>
      <w:r>
        <w:t xml:space="preserve"> composite (higher = more fear,</w:t>
        <w:br/>
        <w:t xml:space="preserve">  historically the better environment to sell premium),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Bull / Weak Bull /</w:t>
        <w:br/>
        <w:t xml:space="preserve">  Neutral / Resilient / Bear</w:t>
      </w:r>
      <w:r>
        <w:t xml:space="preserve"> — and a plain-English suggestion.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thinning and fading toward the</w:t>
        <w:br/>
        <w:t xml:space="preserve">  oldest, so it points the direction of travel.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pPr>
        <w:pStyle w:val="ListBullet"/>
      </w:pPr>
      <w:r>
        <w:rPr>
          <w:b/>
        </w:rPr>
        <w:t>Read the banner first.</w:t>
      </w:r>
      <w:r>
        <w:rPr>
          <w:i/>
        </w:rPr>
        <w:t>Favorable</w:t>
      </w:r>
      <w:r>
        <w:t xml:space="preserve"> means trending conditions. </w:t>
      </w:r>
      <w:r>
        <w:rPr>
          <w:i/>
        </w:rPr>
        <w:t>Neutral</w:t>
      </w:r>
      <w:r>
        <w:t xml:space="preserve"> means</w:t>
        <w:br/>
        <w:t xml:space="preserve">  chop. </w:t>
      </w:r>
      <w:r>
        <w:rPr>
          <w:b/>
        </w:rPr>
        <w:t>Suppressed</w:t>
      </w:r>
      <w:r>
        <w:t xml:space="preserve"> means momentum-crash risk, and the leaderboard dims — that is</w:t>
        <w:br/>
        <w:t xml:space="preserve">  the app telling you not to chase.</w:t>
      </w:r>
    </w:p>
    <w:p>
      <w:pPr>
        <w:pStyle w:val="ListBullet"/>
      </w:pPr>
      <w:r>
        <w:t xml:space="preserve">A </w:t>
      </w:r>
      <w:r>
        <w:rPr>
          <w:b/>
        </w:rPr>
        <w:t>quadrant scatter</w:t>
      </w:r>
      <w:r>
        <w:t xml:space="preserve"> (score against acceleration), a </w:t>
      </w:r>
      <w:r>
        <w:rPr>
          <w:b/>
        </w:rPr>
        <w:t>rank ribbon</w:t>
      </w:r>
      <w:r>
        <w:t xml:space="preserve"> over recent</w:t>
        <w:br/>
        <w:t xml:space="preserve">  sessions, and </w:t>
      </w:r>
      <w:r>
        <w:rPr>
          <w:b/>
        </w:rPr>
        <w:t>top/bottom-15 leaderboards</w:t>
      </w:r>
      <w:r>
        <w:t xml:space="preserve"> exposing every component.</w:t>
      </w:r>
    </w:p>
    <w:p>
      <w:pPr>
        <w:pStyle w:val="ListBullet"/>
      </w:pPr>
      <w:r>
        <w:rPr>
          <w:b/>
        </w:rPr>
        <w:t>Align</w:t>
      </w:r>
      <w:r>
        <w:t xml:space="preserve"> shows three blocks — sector, industry, stock — filled when each is in its</w:t>
        <w:br/>
        <w:t xml:space="preserve">  top quartile. Three filled blocks is the highest-conviction row on the page.</w:t>
      </w:r>
    </w:p>
    <w:p>
      <w:pPr>
        <w:pStyle w:val="ListBullet"/>
      </w:pPr>
      <w:r>
        <w:t xml:space="preserve">The footer counts </w:t>
      </w:r>
      <w:r>
        <w:rPr>
          <w:b/>
        </w:rPr>
        <w:t>excluded</w:t>
      </w:r>
      <w:r>
        <w:t xml:space="preserve"> symbols, so a delisted or renamed ticker becomes</w:t>
        <w:br/>
        <w:t xml:space="preserve">  visible instead of silently vanishing.</w:t>
      </w:r>
    </w:p>
    <w:p>
      <w:r>
        <w:rPr/>
        <w:t>Use the dropdown to switch between industries and 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heat map.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Strategy</w:t>
      </w:r>
      <w:r>
        <w:t xml:space="preserve"> — a template menu grouped into </w:t>
      </w:r>
      <w:r>
        <w:rPr>
          <w:b/>
        </w:rPr>
        <w:t>Singles</w:t>
      </w:r>
      <w:r>
        <w:t xml:space="preserve"> (long/naked call/put),</w:t>
        <w:br/>
        <w:t xml:space="preserve">  </w:t>
      </w:r>
      <w:r>
        <w:rPr>
          <w:b/>
        </w:rPr>
        <w:t>Verticals</w:t>
      </w:r>
      <w:r>
        <w:t xml:space="preserve"> (PCS/CCS credit + call/put debit spreads), </w:t>
      </w:r>
      <w:r>
        <w:rPr>
          <w:b/>
        </w:rPr>
        <w:t>Condors</w:t>
      </w:r>
      <w:r>
        <w:t xml:space="preserve"> (iron condor +</w:t>
        <w:br/>
        <w:t xml:space="preserve">  all-call/all-put condor), </w:t>
      </w:r>
      <w:r>
        <w:rPr>
          <w:b/>
        </w:rPr>
        <w:t>Butterflies</w:t>
      </w:r>
      <w:r>
        <w:t xml:space="preserve"> (call/put long 1-2-1 + iron butterfly), and</w:t>
        <w:br/>
        <w:t xml:space="preserve">  </w:t>
      </w:r>
      <w:r>
        <w:rPr>
          <w:b/>
        </w:rPr>
        <w:t>Calendars</w:t>
      </w:r>
      <w:r>
        <w:t xml:space="preserve"> (call/put calendar + diagonal). Picking one fills the leg editor with</w:t>
        <w:br/>
        <w:t xml:space="preserve">  sensible at-the-money strikes.</w:t>
      </w:r>
    </w:p>
    <w:p>
      <w:pPr>
        <w:pStyle w:val="ListBullet"/>
      </w:pPr>
      <w:r>
        <w:rPr>
          <w:b/>
        </w:rPr>
        <w:t>Symbol</w:t>
      </w:r>
      <w:r>
        <w:t xml:space="preserve"> and </w:t>
      </w:r>
      <w:r>
        <w:rPr>
          <w:b/>
        </w:rPr>
        <w:t>spot price</w:t>
      </w:r>
      <w:r>
        <w:t xml:space="preserve">, plus a </w:t>
      </w:r>
      <w:r>
        <w:rPr>
          <w:b/>
        </w:rPr>
        <w:t>Load</w:t>
      </w:r>
      <w:r>
        <w:t xml:space="preserve"> button that pulls the live chain,</w:t>
        <w:br/>
        <w:t xml:space="preserve">  current price, a price range, and the list of expirations.</w:t>
      </w:r>
    </w:p>
    <w:p>
      <w:pPr>
        <w:pStyle w:val="ListBullet"/>
      </w:pPr>
      <w:r>
        <w:rPr>
          <w:b/>
        </w:rPr>
        <w:t>Expiry</w:t>
      </w:r>
      <w:r>
        <w:t xml:space="preserve">, </w:t>
      </w:r>
      <w:r>
        <w:rPr>
          <w:b/>
        </w:rPr>
        <w:t>Contracts</w:t>
      </w:r>
      <w:r>
        <w:t xml:space="preserve">, </w:t>
      </w:r>
      <w:r>
        <w:rPr>
          <w:b/>
        </w:rPr>
        <w:t>IV %</w:t>
      </w:r>
      <w:r>
        <w:t xml:space="preserve"> (with an </w:t>
      </w:r>
      <w:r>
        <w:rPr>
          <w:b/>
        </w:rPr>
        <w:t>IV</w:t>
      </w:r>
      <w:r>
        <w:t xml:space="preserve"> button that reads the</w:t>
        <w:br/>
        <w:t xml:space="preserve">  at-the-money IV from the chain), an </w:t>
      </w:r>
      <w:r>
        <w:rPr>
          <w:b/>
        </w:rPr>
        <w:t>IV Δ %</w:t>
      </w:r>
      <w:r>
        <w:t xml:space="preserve"> shock, and a </w:t>
      </w:r>
      <w:r>
        <w:rPr>
          <w:b/>
        </w:rPr>
        <w:t>Rate %</w:t>
      </w:r>
      <w:r>
        <w:t>.</w:t>
      </w:r>
    </w:p>
    <w:p>
      <w:pPr>
        <w:pStyle w:val="ListBullet"/>
      </w:pPr>
      <w:r>
        <w:t xml:space="preserve">An </w:t>
      </w:r>
      <w:r>
        <w:rPr>
          <w:b/>
        </w:rPr>
        <w:t>editable leg editor</w:t>
      </w:r>
      <w:r>
        <w:t xml:space="preserve"> — one row per leg with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Strike</w:t>
      </w:r>
      <w:r>
        <w:t xml:space="preserve">, </w:t>
      </w:r>
      <w:r>
        <w:rPr>
          <w:b/>
        </w:rPr>
        <w:t>Expiry</w:t>
      </w:r>
      <w:r>
        <w:t xml:space="preserve">, and </w:t>
      </w:r>
      <w:r>
        <w:rPr>
          <w:b/>
        </w:rPr>
        <w:t>Qty</w:t>
      </w:r>
      <w:r>
        <w:t xml:space="preserve">, plus </w:t>
      </w:r>
      <w:r>
        <w:rPr>
          <w:b/>
        </w:rPr>
        <w:t>Add leg</w:t>
      </w:r>
      <w:r>
        <w:t xml:space="preserve"> and a remove</w:t>
        <w:br/>
        <w:t xml:space="preserve">  button. Each leg carries its </w:t>
      </w:r>
      <w:r>
        <w:rPr>
          <w:b/>
        </w:rPr>
        <w:t>own expiry</w:t>
      </w:r>
      <w:r>
        <w:t xml:space="preserve"> (so </w:t>
      </w:r>
      <w:r>
        <w:rPr>
          <w:b/>
        </w:rPr>
        <w:t>calendars/diagonals</w:t>
      </w:r>
      <w:r>
        <w:t xml:space="preserve"> price each</w:t>
        <w:br/>
        <w:t xml:space="preserve">  leg on its own clock) and its own quantity (so a 1-2-1 butterfly body trades at 2×).</w:t>
        <w:br/>
        <w:t xml:space="preserve">  </w:t>
      </w:r>
      <w:r>
        <w:rPr>
          <w:b/>
        </w:rPr>
        <w:t>Fetch Premiums</w:t>
      </w:r>
      <w:r>
        <w:t xml:space="preserve"> fills each leg's premium from the chain.</w:t>
      </w:r>
    </w:p>
    <w:p>
      <w:pPr>
        <w:pStyle w:val="ListBullet"/>
      </w:pPr>
      <w:r>
        <w:rPr>
          <w:b/>
        </w:rPr>
        <w:t>Range min / max</w:t>
      </w:r>
      <w:r>
        <w:t xml:space="preserve"> and </w:t>
      </w:r>
      <w:r>
        <w:rPr>
          <w:b/>
        </w:rPr>
        <w:t>Range %</w:t>
      </w:r>
      <w:r>
        <w:t xml:space="preserve"> controlling the heat map's price span.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Summary tiles</w:t>
      </w:r>
      <w:r>
        <w:t xml:space="preserve"> — entry credit/debit, max risk, max return, return-on-risk %,</w:t>
        <w:br/>
        <w:t xml:space="preserve">  break-even(s), and probability of profit. The credit-spread/iron-condor metrics use</w:t>
        <w:br/>
        <w:t xml:space="preserve">  the exact closed-form formulas; </w:t>
      </w:r>
      <w:r>
        <w:rPr>
          <w:b/>
        </w:rPr>
        <w:t>butterflies, calendars, and other structures</w:t>
      </w:r>
      <w:r>
        <w:t xml:space="preserve"> are</w:t>
        <w:br/>
        <w:t xml:space="preserve">  measured numerically off the value-at-expiration curve (max profit/loss + every</w:t>
        <w:br/>
        <w:t xml:space="preserve">  break-even crossing).</w:t>
      </w:r>
    </w:p>
    <w:p>
      <w:pPr>
        <w:pStyle w:val="ListBullet"/>
      </w:pPr>
      <w:r>
        <w:t xml:space="preserve">A </w:t>
      </w:r>
      <w:r>
        <w:rPr>
          <w:b/>
        </w:rPr>
        <w:t>P&amp;L heat map</w:t>
      </w:r>
      <w:r>
        <w:t xml:space="preserve"> — rows are price points, columns are evaluation dates, each</w:t>
        <w:br/>
        <w:t xml:space="preserve">  cell shows the dollar P&amp;L and % return, shaded green (profit) to red (loss). The</w:t>
        <w:br/>
        <w:t xml:space="preserve">  current spot row is highlighted.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P&amp;L tiles and the</w:t>
        <w:br/>
        <w:t>scenario/Greeks views without re-entering it.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each row has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Strike</w:t>
      </w:r>
      <w:r>
        <w:rPr/>
        <w:t xml:space="preserve">, </w:t>
      </w:r>
      <w:r>
        <w:rPr>
          <w:b/>
        </w:rPr>
        <w:t>Expiry</w:t>
      </w:r>
      <w:r>
        <w:rPr/>
        <w:t>, and</w:t>
        <w:br/>
      </w:r>
      <w:r>
        <w:rPr>
          <w:b/>
        </w:rPr>
        <w:t>Qty</w:t>
      </w:r>
      <w:r>
        <w:rPr/>
        <w:t xml:space="preserve">, with </w:t>
      </w:r>
      <w:r>
        <w:rPr>
          <w:b/>
        </w:rPr>
        <w:t>Add leg</w:t>
      </w:r>
      <w:r>
        <w:rPr/>
        <w:t xml:space="preserve"> / remove. Every tab below operates on the </w:t>
      </w:r>
      <w:r>
        <w:rPr>
          <w:b/>
        </w:rPr>
        <w:t>netted</w:t>
      </w:r>
      <w:r>
        <w:rPr/>
        <w:br/>
        <w:t>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P&amp;L tiles +</w:t>
        <w:br/>
        <w:t xml:space="preserve">heat map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Symbol, Strategy, Mode, Opened, Expiration, DTE, Entry Credit, Entry</w:t>
        <w:br/>
        <w:t xml:space="preserve">  Risk, P&amp;L (green/red), Entry Score, Current Score, </w:t>
      </w:r>
      <w:r>
        <w:rPr>
          <w:b/>
        </w:rPr>
        <w:t>Score Drift</w:t>
      </w:r>
      <w:r>
        <w:t>, Grade, and a</w:t>
        <w:br/>
        <w:t xml:space="preserve">  color-coded </w:t>
      </w:r>
      <w:r>
        <w:rPr>
          <w:b/>
        </w:rPr>
        <w:t>Recommendation</w:t>
      </w:r>
      <w:r>
        <w:t xml:space="preserve"> (green TAKE_PROFIT / red CUT / amber HOLD).</w:t>
      </w:r>
    </w:p>
    <w:p>
      <w:pPr>
        <w:pStyle w:val="ListBullet"/>
      </w:pPr>
      <w:r>
        <w:t>Click a row for its detail panel (entry vs current score, recommendation,</w:t>
        <w:br/>
        <w:t xml:space="preserve">  unrealized P&amp;L).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Trade Analyzer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</w:t>
      </w:r>
    </w:p>
    <w:p>
      <w:r>
        <w:rPr/>
        <w:t xml:space="preserve">On-demand analysis of a single symbol. Type a </w:t>
      </w:r>
      <w:r>
        <w:rPr>
          <w:b/>
        </w:rPr>
        <w:t>Symbol</w:t>
      </w:r>
      <w:r>
        <w:rPr/>
        <w:t xml:space="preserve"> and press </w:t>
      </w:r>
      <w:r>
        <w:rPr>
          <w:b/>
        </w:rPr>
        <w:t>Analyze</w:t>
      </w:r>
      <w:r>
        <w:rPr/>
        <w:br/>
        <w:t>(tabbing out of the field does it too).</w:t>
      </w:r>
    </w:p>
    <w:p>
      <w:r>
        <w:rPr>
          <w:b/>
        </w:rPr>
        <w:t>Two more buttons sit beside Analyze, and each opens a separate screen in a new</w:t>
        <w:br/>
        <w:t>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A full standalone report for the symbol — technicals, fundamentals and short interest, plus options analytics (at-the-money IV, implied move, max pain, 25-delta skew, IV term structure, 30-day constant-maturity IV, net GEX and flip, open-interest walls) and an IV/RV rank.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same digest formatted as a </w:t>
            </w:r>
            <w:r>
              <w:rPr>
                <w:b/>
              </w:rPr>
              <w:t>copyable chat prompt</w:t>
            </w:r>
            <w:r>
              <w:rPr/>
              <w:t xml:space="preserve"> you can paste into an AI assistant. It makes </w:t>
            </w:r>
            <w:r>
              <w:rPr>
                <w:b/>
              </w:rPr>
              <w:t>no</w:t>
            </w:r>
            <w:r>
              <w:rPr/>
              <w:t xml:space="preserve"> API call itself, so it costs nothing.</w:t>
            </w:r>
          </w:p>
        </w:tc>
      </w:tr>
    </w:tbl>
    <w:p/>
    <w:p>
      <w:pPr>
        <w:pStyle w:val="IntenseQuote"/>
      </w:pPr>
      <w:r>
        <w:rPr/>
        <w:t>IV rank reads "building" until enough daily snapshots have accumulated for that</w:t>
        <w:br/>
        <w:t>symbol. That is expected on a name you have just started analyzing.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with the symbol, price, bias, and volume.</w:t>
      </w:r>
    </w:p>
    <w:p>
      <w:pPr>
        <w:pStyle w:val="ListBullet"/>
      </w:pPr>
      <w:r>
        <w:rPr>
          <w:b/>
        </w:rPr>
        <w:t>Two verdict cards side by side</w:t>
      </w:r>
      <w:r>
        <w:t xml:space="preserve"> — </w:t>
      </w:r>
      <w:r>
        <w:rPr>
          <w:b/>
        </w:rPr>
        <w:t>Position</w:t>
      </w:r>
      <w:r>
        <w:t xml:space="preserve"> (1–8 weeks) and </w:t>
      </w:r>
      <w:r>
        <w:rPr>
          <w:b/>
        </w:rPr>
        <w:t>Investor</w:t>
      </w:r>
      <w:r>
        <w:br/>
        <w:t xml:space="preserve">  (months+):</w:t>
      </w:r>
    </w:p>
    <w:p>
      <w:pPr>
        <w:pStyle w:val="ListBullet"/>
      </w:pPr>
      <w:r>
        <w:rPr>
          <w:b/>
        </w:rPr>
        <w:t>Position (1–8 weeks)</w:t>
      </w:r>
      <w:r>
        <w:t xml:space="preserve"> is </w:t>
      </w:r>
      <w:r>
        <w:rPr>
          <w:b/>
        </w:rPr>
        <w:t>backtested</w:t>
      </w:r>
      <w:r>
        <w:t>. Rather than a hand-tuned score, it</w:t>
        <w:br/>
        <w:t xml:space="preserve">    ranks the stock on a set of price/volume factors that were </w:t>
      </w:r>
      <w:r>
        <w:rPr>
          <w:i/>
        </w:rPr>
        <w:t>validated against real</w:t>
        <w:br/>
        <w:t xml:space="preserve">    forward returns</w:t>
      </w:r>
      <w:r>
        <w:t xml:space="preserve"> (which factors matter, and by how much, was learned from history —</w:t>
        <w:br/>
        <w:t xml:space="preserve">    not guessed), then places it in a </w:t>
      </w:r>
      <w:r>
        <w:rPr>
          <w:b/>
        </w:rPr>
        <w:t>calibrated band</w:t>
      </w:r>
      <w:r>
        <w:t>. The headline shows the</w:t>
        <w:br/>
        <w:t xml:space="preserve">    Buy / Hold / Sell verdict for that band plus what the band has </w:t>
      </w:r>
      <w:r>
        <w:rPr>
          <w:i/>
        </w:rPr>
        <w:t>historically</w:t>
      </w:r>
      <w:r>
        <w:br/>
        <w:t xml:space="preserve">    delivered: a band </w:t>
      </w:r>
      <w:r>
        <w:rPr>
          <w:b/>
        </w:rPr>
        <w:t>percentile</w:t>
      </w:r>
      <w:r>
        <w:t xml:space="preserve">, an </w:t>
      </w:r>
      <w:r>
        <w:rPr>
          <w:b/>
        </w:rPr>
        <w:t>expected return</w:t>
      </w:r>
      <w:r>
        <w:t xml:space="preserve"> over the model's horizon</w:t>
        <w:br/>
        <w:t xml:space="preserve">    (≈ 4 weeks), and how often names in that band </w:t>
      </w:r>
      <w:r>
        <w:rPr>
          <w:b/>
        </w:rPr>
        <w:t>beat the S&amp;P 500</w:t>
      </w:r>
      <w:r>
        <w:t xml:space="preserve"> — e.g.</w:t>
        <w:br/>
        <w:t xml:space="preserve">    </w:t>
      </w:r>
      <w:r>
        <w:rPr>
          <w:i/>
        </w:rPr>
        <w:t>"90th pctile · +1.3% / 20d · 52% beat-SPY"</w:t>
      </w:r>
      <w:r>
        <w:t xml:space="preserve">. Open </w:t>
      </w:r>
      <w:r>
        <w:rPr>
          <w:b/>
        </w:rPr>
        <w:t>"Why — validated factors"</w:t>
      </w:r>
      <w:r>
        <w:t xml:space="preserve"> to</w:t>
        <w:br/>
        <w:t xml:space="preserve">    see each factor's contribution (momentum, trend quality, relative strength,</w:t>
        <w:br/>
        <w:t xml:space="preserve">    volatility, turnover…) and the </w:t>
      </w:r>
      <w:r>
        <w:rPr>
          <w:b/>
        </w:rPr>
        <w:t>model's own track record</w:t>
      </w:r>
      <w:r>
        <w:t xml:space="preserve"> (its version date and</w:t>
        <w:br/>
        <w:t xml:space="preserve">    out-of-sample accuracy). The previous hand-tuned verdict is still available under a</w:t>
        <w:br/>
        <w:t xml:space="preserve">    collapsed </w:t>
      </w:r>
      <w:r>
        <w:rPr>
          <w:b/>
        </w:rPr>
        <w:t>"Legacy heuristic"</w:t>
      </w:r>
      <w:r>
        <w:t xml:space="preserve"> section for comparison. </w:t>
      </w:r>
      <w:r>
        <w:rPr>
          <w:i/>
        </w:rPr>
        <w:t>Honest note:</w:t>
      </w:r>
      <w:r>
        <w:t xml:space="preserve"> the edge is</w:t>
        <w:br/>
        <w:t xml:space="preserve">    real but </w:t>
      </w:r>
      <w:r>
        <w:rPr>
          <w:b/>
        </w:rPr>
        <w:t>small and regime-dependent</w:t>
      </w:r>
      <w:r>
        <w:t xml:space="preserve"> — treat it as one weighted input, not a</w:t>
        <w:br/>
        <w:t xml:space="preserve">    guarantee. The </w:t>
      </w:r>
      <w:r>
        <w:rPr>
          <w:b/>
        </w:rPr>
        <w:t>Investor (months+)</w:t>
      </w:r>
      <w:r>
        <w:t xml:space="preserve"> validation is deferred (it needs fundamentals</w:t>
        <w:br/>
        <w:t xml:space="preserve">    history), so that card is unchanged.</w:t>
      </w:r>
    </w:p>
    <w:p>
      <w:pPr>
        <w:pStyle w:val="ListBullet"/>
      </w:pPr>
      <w:r>
        <w:rPr>
          <w:b/>
        </w:rPr>
        <w:t>Investor (months+)</w:t>
      </w:r>
      <w:r>
        <w:rPr/>
        <w:t xml:space="preserve"> shows a Buy / Hold / Sell verdict (color-coded), a score,</w:t>
        <w:br/>
        <w:t xml:space="preserve">    the top reasons, any hard "gates" that fired, and an expandable factor breakdown.</w:t>
      </w:r>
      <w:r>
        <w:rPr/>
        <w:br/>
      </w:r>
      <w:r>
        <w:rPr>
          <w:b/>
        </w:rPr>
        <w:t>The Markov Forecast card was removed in June 2026</w:t>
      </w:r>
      <w:r>
        <w:rPr/>
        <w:t xml:space="preserve"> and no longer appears on</w:t>
        <w:br/>
        <w:t xml:space="preserve">this page. It projected the </w:t>
      </w:r>
      <w:r>
        <w:rPr>
          <w:i/>
        </w:rPr>
        <w:t>legacy</w:t>
      </w:r>
      <w:r>
        <w:rPr/>
        <w:t xml:space="preserve"> technical-momentum score, which contradicted</w:t>
        <w:br/>
        <w:t>the validated Position read sitting beside it. The underlying forecast is still</w:t>
        <w:br/>
        <w:t>computed and still reaches the data feed, but nothing on this screen renders it.</w:t>
      </w:r>
      <w:r>
        <w:rPr/>
        <w:br/>
      </w:r>
    </w:p>
    <w:p>
      <w:pPr>
        <w:pStyle w:val="ListBullet"/>
      </w:pPr>
      <w:r>
        <w:rPr/>
        <w:t xml:space="preserve">An </w:t>
      </w:r>
      <w:r>
        <w:rPr>
          <w:b/>
        </w:rPr>
        <w:t>MTF EMA Alignment</w:t>
      </w:r>
      <w:r>
        <w:rPr/>
        <w:t xml:space="preserve"> card (per-timeframe trend agreement: Daily, 4H, 1H, 15m,</w:t>
        <w:br/>
        <w:t xml:space="preserve">  5m, 1m).</w:t>
      </w:r>
    </w:p>
    <w:p>
      <w:pPr>
        <w:pStyle w:val="ListBullet"/>
      </w:pPr>
      <w:r>
        <w:t xml:space="preserve">A </w:t>
      </w:r>
      <w:r>
        <w:rPr>
          <w:b/>
        </w:rPr>
        <w:t>Momentum</w:t>
      </w:r>
      <w:r>
        <w:t xml:space="preserve"> strip (RSI, ADX, MACD histogram, VWAP, relative volume).</w:t>
      </w:r>
    </w:p>
    <w:p>
      <w:pPr>
        <w:pStyle w:val="ListBullet"/>
      </w:pPr>
      <w:r>
        <w:t xml:space="preserve">A </w:t>
      </w:r>
      <w:r>
        <w:rPr>
          <w:b/>
        </w:rPr>
        <w:t>Sector</w:t>
      </w:r>
      <w:r>
        <w:t xml:space="preserve"> card and, when available, a </w:t>
      </w:r>
      <w:r>
        <w:rPr>
          <w:b/>
        </w:rPr>
        <w:t>Fundamentals</w:t>
      </w:r>
      <w:r>
        <w:t xml:space="preserve"> card (P/E, PEG, revenue</w:t>
        <w:br/>
        <w:t xml:space="preserve">  &amp; EPS growth, ROE, margin trend).</w:t>
      </w:r>
    </w:p>
    <w:p>
      <w:r>
        <w:rPr/>
        <w:t>The analysis persists as you navigate away and back.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a 09:28 ET morning checkpoint, then every 30 minutes within an</w:t>
        <w:br/>
        <w:t xml:space="preserve">entry window of </w:t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four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Memurai, the Schwab gateway, the six services, and the web</w:t>
        <w:br/>
        <w:t xml:space="preserve">  app itself, each with Online/Offline and its tier. The gateway's card also shows</w:t>
        <w:br/>
        <w:t xml:space="preserve"> 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Memurai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 (there is no login):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Market summary ticker</w:t>
      </w:r>
      <w:r>
        <w:t xml:space="preserve"> — the scrolling bar at the bottom of every page, with a</w:t>
        <w:br/>
        <w:t xml:space="preserve">  speed setting.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also unlocks browser audio for the session.</w:t>
      </w:r>
    </w:p>
    <w:p>
      <w:pPr>
        <w:pStyle w:val="IntenseQuote"/>
      </w:pPr>
      <w:r>
        <w:rPr>
          <w:b/>
        </w:rPr>
        <w:t>Turning the ticker off also stops the Claude calls behind it</w:t>
      </w:r>
      <w:r>
        <w:rPr/>
        <w:t>, so it is a cost</w:t>
        <w:br/>
        <w:t>control as well as a display setting.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>(behind a confirmation) stops the gateway, the six services, and the web app.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 xml:space="preserve">you confirm, by design. Memurai is left running. Re-launch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start_all_wt.bat</w:t>
      </w:r>
      <w:r>
        <w:rPr/>
        <w:t>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