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MARKETS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>);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study is rebuilt over them, and the day's calls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call is built after 09:35 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symbol is a card.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bars); the </w:t>
      </w:r>
      <w:r>
        <w:rPr>
          <w:b/>
        </w:rPr>
        <w:t>Entry</w:t>
      </w:r>
      <w:r>
        <w:rPr/>
        <w:t xml:space="preserve"> column alone is taken from</w:t>
        <w:br/>
        <w:t xml:space="preserve">the live 08:36 chain where it quoted the strike (the row says </w:t>
      </w:r>
      <w:r>
        <w:rPr>
          <w:b/>
        </w:rPr>
        <w:t>live quote</w:t>
      </w:r>
      <w:r>
        <w:rPr/>
        <w:t>) and from</w:t>
        <w:br/>
        <w:t>the model otherwise (</w:t>
      </w:r>
      <w:r>
        <w:rPr>
          <w:b/>
        </w:rPr>
        <w:t>modelled</w:t>
      </w:r>
      <w:r>
        <w:rPr/>
        <w:t>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card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 xml:space="preserve">). Grading uses only the call </w:t>
      </w:r>
      <w:r>
        <w:rPr>
          <w:b/>
        </w:rPr>
        <w:t>as published</w:t>
      </w:r>
      <w:r>
        <w:rPr/>
        <w:t xml:space="preserve"> — its</w:t>
        <w:br/>
        <w:t>strikes, entry and highlight/avoid marks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means each past day was scored only from the days before it,</w:t>
        <w:br/>
        <w:t>so the rate shown is what the method would have said at the time, not a fit to the</w:t>
        <w:br/>
        <w:t>whole history.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