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2026-09-14</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Dealer Positioning</w:t>
            </w:r>
          </w:p>
        </w:tc>
        <w:tc>
          <w:tcPr>
            <w:tcW w:type="dxa" w:w="4320"/>
            <w:shd w:val="clear" w:color="auto" w:fill="F4F6FA"/>
          </w:tcPr>
          <w:p>
            <w:r/>
            <w:r>
              <w:rPr>
                <w:i/>
              </w:rPr>
              <w:t>GEX / Gamma</w:t>
            </w:r>
            <w:r>
              <w:rPr/>
              <w:t xml:space="preserve"> · </w:t>
            </w:r>
            <w:r>
              <w:rPr>
                <w:i/>
              </w:rPr>
              <w:t>Black-Scholes &amp; the Simulator</w:t>
            </w:r>
            <w:r>
              <w:rPr/>
              <w:t xml:space="preserve"> (the Greeks behind charm and vanna)</w:t>
            </w:r>
          </w:p>
        </w:tc>
      </w:tr>
      <w:tr>
        <w:tc>
          <w:tcPr>
            <w:tcW w:type="dxa" w:w="4320"/>
          </w:tcPr>
          <w:p>
            <w:r/>
            <w:r>
              <w:rPr>
                <w:b/>
              </w:rPr>
              <w:t>Opportunity Board</w:t>
            </w:r>
          </w:p>
        </w:tc>
        <w:tc>
          <w:tcPr>
            <w:tcW w:type="dxa" w:w="4320"/>
          </w:tcPr>
          <w:p>
            <w:r/>
            <w:r>
              <w:rPr>
                <w:i/>
              </w:rPr>
              <w:t>GEX / Gamma</w:t>
            </w:r>
            <w:r>
              <w:rPr/>
              <w:t xml:space="preserve"> (the flip and flow series) · </w:t>
            </w:r>
            <w:r>
              <w:rPr>
                <w:i/>
              </w:rPr>
              <w:t>Options Scoring</w:t>
            </w:r>
            <w:r>
              <w:rPr/>
              <w:t xml:space="preserve"> (its signal counts)</w:t>
            </w:r>
          </w:p>
        </w:tc>
      </w:tr>
      <w:tr>
        <w:tc>
          <w:tcPr>
            <w:tcW w:type="dxa" w:w="4320"/>
            <w:shd w:val="clear" w:color="auto" w:fill="F4F6FA"/>
          </w:tcPr>
          <w:p>
            <w:r/>
            <w:r>
              <w:rPr>
                <w:b/>
              </w:rPr>
              <w:t>Flow Alerts</w:t>
            </w:r>
          </w:p>
        </w:tc>
        <w:tc>
          <w:tcPr>
            <w:tcW w:type="dxa" w:w="4320"/>
            <w:shd w:val="clear" w:color="auto" w:fill="F4F6FA"/>
          </w:tcPr>
          <w:p>
            <w:r/>
            <w:r>
              <w:rPr>
                <w:i/>
              </w:rPr>
              <w:t>GEX / Gamma</w:t>
            </w:r>
            <w:r>
              <w:rPr/>
              <w:t xml:space="preserve"> (the premium series) · </w:t>
            </w:r>
            <w:r>
              <w:rPr>
                <w:i/>
              </w:rPr>
              <w:t>Constants Appendix</w:t>
            </w:r>
            <w:r>
              <w:rPr/>
              <w:t xml:space="preserve"> (detector thresholds)</w:t>
            </w:r>
          </w:p>
        </w:tc>
      </w:tr>
      <w:tr>
        <w:tc>
          <w:tcPr>
            <w:tcW w:type="dxa" w:w="4320"/>
          </w:tcPr>
          <w:p>
            <w:r/>
            <w:r>
              <w:rPr>
                <w:b/>
              </w:rPr>
              <w:t>Market Dashboard</w:t>
            </w:r>
          </w:p>
        </w:tc>
        <w:tc>
          <w:tcPr>
            <w:tcW w:type="dxa" w:w="4320"/>
          </w:tcPr>
          <w:p>
            <w:r/>
            <w:r>
              <w:rPr>
                <w:i/>
              </w:rPr>
              <w:t>Architecture Overview</w:t>
            </w:r>
            <w:r>
              <w:rPr/>
              <w:t xml:space="preserve"> — the board normalizes and colours quotes rather than deriving anything</w:t>
            </w:r>
          </w:p>
        </w:tc>
      </w:tr>
      <w:tr>
        <w:tc>
          <w:tcPr>
            <w:tcW w:type="dxa" w:w="4320"/>
            <w:shd w:val="clear" w:color="auto" w:fill="F4F6FA"/>
          </w:tcPr>
          <w:p>
            <w:r/>
            <w:r>
              <w:rPr>
                <w:b/>
              </w:rPr>
              <w:t>Sentiment</w:t>
            </w:r>
          </w:p>
        </w:tc>
        <w:tc>
          <w:tcPr>
            <w:tcW w:type="dxa" w:w="4320"/>
            <w:shd w:val="clear" w:color="auto" w:fill="F4F6FA"/>
          </w:tcPr>
          <w:p>
            <w:r/>
            <w:r>
              <w:rPr>
                <w:i/>
              </w:rPr>
              <w:t>Sentiment Calculations</w:t>
            </w:r>
            <w:r>
              <w:rPr/>
              <w:t>, including the composite blend, the intraday trend, and the blended market regime</w:t>
            </w:r>
          </w:p>
        </w:tc>
      </w:tr>
      <w:tr>
        <w:tc>
          <w:tcPr>
            <w:tcW w:type="dxa" w:w="4320"/>
          </w:tcPr>
          <w:p>
            <w:r/>
            <w:r>
              <w:rPr>
                <w:b/>
              </w:rPr>
              <w:t>Sector &amp; Industry</w:t>
            </w:r>
          </w:p>
        </w:tc>
        <w:tc>
          <w:tcPr>
            <w:tcW w:type="dxa" w:w="4320"/>
          </w:tcPr>
          <w:p>
            <w:r/>
            <w:r>
              <w:rPr>
                <w:i/>
              </w:rPr>
              <w:t>Sentiment Calculations</w:t>
            </w:r>
            <w:r>
              <w:rPr/>
              <w:t xml:space="preserve"> → </w:t>
            </w:r>
            <w:r>
              <w:rPr>
                <w:b/>
              </w:rPr>
              <w:t>Sector Performance</w:t>
            </w:r>
          </w:p>
        </w:tc>
      </w:tr>
      <w:tr>
        <w:tc>
          <w:tcPr>
            <w:tcW w:type="dxa" w:w="4320"/>
            <w:shd w:val="clear" w:color="auto" w:fill="F4F6FA"/>
          </w:tcPr>
          <w:p>
            <w:r/>
            <w:r>
              <w:rPr>
                <w:b/>
              </w:rPr>
              <w:t>Sector Rotation</w:t>
            </w:r>
            <w:r>
              <w:rPr/>
              <w:t xml:space="preserve"> · </w:t>
            </w:r>
            <w:r>
              <w:rPr>
                <w:b/>
              </w:rPr>
              <w:t>RRG</w:t>
            </w:r>
          </w:p>
        </w:tc>
        <w:tc>
          <w:tcPr>
            <w:tcW w:type="dxa" w:w="4320"/>
            <w:shd w:val="clear" w:color="auto" w:fill="F4F6FA"/>
          </w:tcPr>
          <w:p>
            <w:r/>
            <w:r>
              <w:rPr>
                <w:i/>
              </w:rPr>
              <w:t>Sentiment Calculations</w:t>
            </w:r>
            <w:r>
              <w:rPr/>
              <w:t xml:space="preserve"> → </w:t>
            </w:r>
            <w:r>
              <w:rPr>
                <w:b/>
              </w:rPr>
              <w:t>Rotation</w:t>
            </w:r>
          </w:p>
        </w:tc>
      </w:tr>
      <w:tr>
        <w:tc>
          <w:tcPr>
            <w:tcW w:type="dxa" w:w="4320"/>
          </w:tcPr>
          <w:p>
            <w:r/>
            <w:r>
              <w:rPr>
                <w:b/>
              </w:rPr>
              <w:t>Momentum</w:t>
            </w:r>
          </w:p>
        </w:tc>
        <w:tc>
          <w:tcPr>
            <w:tcW w:type="dxa" w:w="4320"/>
          </w:tcPr>
          <w:p>
            <w:r/>
            <w:r>
              <w:rPr>
                <w:i/>
              </w:rPr>
              <w:t>Sentiment Calculations</w:t>
            </w:r>
            <w:r>
              <w:rPr/>
              <w:t xml:space="preserve"> (the nightly cascade; see also the cadence table)</w:t>
            </w:r>
          </w:p>
        </w:tc>
      </w:tr>
      <w:tr>
        <w:tc>
          <w:tcPr>
            <w:tcW w:type="dxa" w:w="4320"/>
            <w:shd w:val="clear" w:color="auto" w:fill="F4F6FA"/>
          </w:tcPr>
          <w:p>
            <w:r/>
            <w:r>
              <w:rPr>
                <w:b/>
              </w:rPr>
              <w:t>Calculator</w:t>
            </w:r>
            <w:r>
              <w:rPr/>
              <w:t xml:space="preserve"> · </w:t>
            </w:r>
            <w:r>
              <w:rPr>
                <w:b/>
              </w:rPr>
              <w:t>Simulator</w:t>
            </w:r>
          </w:p>
        </w:tc>
        <w:tc>
          <w:tcPr>
            <w:tcW w:type="dxa" w:w="4320"/>
            <w:shd w:val="clear" w:color="auto" w:fill="F4F6FA"/>
          </w:tcPr>
          <w:p>
            <w:r/>
            <w:r>
              <w:rPr>
                <w:i/>
              </w:rPr>
              <w:t>Black-Scholes &amp; the Simulator</w:t>
            </w:r>
          </w:p>
        </w:tc>
      </w:tr>
      <w:tr>
        <w:tc>
          <w:tcPr>
            <w:tcW w:type="dxa" w:w="4320"/>
          </w:tcPr>
          <w:p>
            <w:r/>
            <w:r>
              <w:rPr>
                <w:b/>
              </w:rPr>
              <w:t>Market Scanner</w:t>
            </w:r>
          </w:p>
        </w:tc>
        <w:tc>
          <w:tcPr>
            <w:tcW w:type="dxa" w:w="4320"/>
          </w:tcPr>
          <w:p>
            <w:r/>
            <w:r>
              <w:rPr>
                <w:i/>
              </w:rPr>
              <w:t>Options Scoring</w:t>
            </w:r>
            <w:r>
              <w:rPr/>
              <w:t xml:space="preserve"> · </w:t>
            </w:r>
            <w:r>
              <w:rPr>
                <w:i/>
              </w:rPr>
              <w:t>Technical Indicators</w:t>
            </w:r>
          </w:p>
        </w:tc>
      </w:tr>
      <w:tr>
        <w:tc>
          <w:tcPr>
            <w:tcW w:type="dxa" w:w="4320"/>
            <w:shd w:val="clear" w:color="auto" w:fill="F4F6FA"/>
          </w:tcPr>
          <w:p>
            <w:r/>
            <w:r>
              <w:rPr>
                <w:b/>
              </w:rPr>
              <w:t>Strategy Finder</w:t>
            </w:r>
          </w:p>
        </w:tc>
        <w:tc>
          <w:tcPr>
            <w:tcW w:type="dxa" w:w="4320"/>
            <w:shd w:val="clear" w:color="auto" w:fill="F4F6FA"/>
          </w:tcPr>
          <w:p>
            <w:r/>
            <w:r>
              <w:rPr>
                <w:i/>
              </w:rPr>
              <w:t>Options Scoring</w:t>
            </w:r>
            <w:r>
              <w:rPr/>
              <w:t xml:space="preserve"> (the Fit + Quality score)</w:t>
            </w:r>
          </w:p>
        </w:tc>
      </w:tr>
      <w:tr>
        <w:tc>
          <w:tcPr>
            <w:tcW w:type="dxa" w:w="4320"/>
          </w:tcPr>
          <w:p>
            <w:r/>
            <w:r>
              <w:rPr>
                <w:b/>
              </w:rPr>
              <w:t>Expected Move</w:t>
            </w:r>
          </w:p>
        </w:tc>
        <w:tc>
          <w:tcPr>
            <w:tcW w:type="dxa" w:w="4320"/>
          </w:tcPr>
          <w:p>
            <w:r/>
            <w:r>
              <w:rPr>
                <w:i/>
              </w:rPr>
              <w:t>Options Scoring</w:t>
            </w:r>
            <w:r>
              <w:rPr/>
              <w:t xml:space="preserve"> → </w:t>
            </w:r>
            <w:r>
              <w:rPr>
                <w:b/>
              </w:rPr>
              <w:t>Expected move and IV analysis</w:t>
            </w:r>
          </w:p>
        </w:tc>
      </w:tr>
      <w:tr>
        <w:tc>
          <w:tcPr>
            <w:tcW w:type="dxa" w:w="4320"/>
            <w:shd w:val="clear" w:color="auto" w:fill="F4F6FA"/>
          </w:tcPr>
          <w:p>
            <w:r/>
            <w:r>
              <w:rPr>
                <w:b/>
              </w:rPr>
              <w:t>Captured Signals</w:t>
            </w:r>
            <w:r>
              <w:rPr/>
              <w:t xml:space="preserve"> · </w:t>
            </w:r>
            <w:r>
              <w:rPr>
                <w:b/>
              </w:rPr>
              <w:t>Paper Ledger</w:t>
            </w:r>
            <w:r>
              <w:rPr/>
              <w:t xml:space="preserve"> · </w:t>
            </w:r>
            <w:r>
              <w:rPr>
                <w:b/>
              </w:rPr>
              <w:t>Paper Account</w:t>
            </w:r>
          </w:p>
        </w:tc>
        <w:tc>
          <w:tcPr>
            <w:tcW w:type="dxa" w:w="4320"/>
            <w:shd w:val="clear" w:color="auto" w:fill="F4F6FA"/>
          </w:tcPr>
          <w:p>
            <w:r/>
            <w:r>
              <w:rPr>
                <w:i/>
              </w:rPr>
              <w:t>Options Scoring</w:t>
            </w:r>
            <w:r>
              <w:rPr/>
              <w:t xml:space="preserve"> (entry quality) · </w:t>
            </w:r>
            <w:r>
              <w:rPr>
                <w:i/>
              </w:rPr>
              <w:t>Rescue Tested Trades</w:t>
            </w:r>
            <w:r>
              <w:rPr/>
              <w:t xml:space="preserve"> (the management rules)</w:t>
            </w:r>
          </w:p>
        </w:tc>
      </w:tr>
      <w:tr>
        <w:tc>
          <w:tcPr>
            <w:tcW w:type="dxa" w:w="4320"/>
          </w:tcPr>
          <w:p>
            <w:r/>
            <w:r>
              <w:rPr>
                <w:b/>
              </w:rPr>
              <w:t>Rescue</w:t>
            </w:r>
          </w:p>
        </w:tc>
        <w:tc>
          <w:tcPr>
            <w:tcW w:type="dxa" w:w="4320"/>
          </w:tcPr>
          <w:p>
            <w:r/>
            <w:r>
              <w:rPr>
                <w:i/>
              </w:rPr>
              <w:t>Rescue Tested Trades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Claude Trades</w:t>
            </w:r>
          </w:p>
        </w:tc>
        <w:tc>
          <w:tcPr>
            <w:tcW w:type="dxa" w:w="4320"/>
          </w:tcPr>
          <w:p>
            <w:r/>
            <w:r>
              <w:rPr/>
              <w:t xml:space="preserve">Its risk clamping is pure code, not a formula — see the </w:t>
            </w:r>
            <w:r>
              <w:rPr>
                <w:i/>
              </w:rPr>
              <w:t>API / Developer Reference</w:t>
            </w:r>
            <w:r>
              <w:rPr/>
              <w:t xml:space="preserve">, </w:t>
            </w:r>
            <w:r>
              <w:rPr>
                <w:b/>
              </w:rPr>
              <w:t>Driver service</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nine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apscheduler==3.10.4</w:t>
            </w:r>
          </w:p>
        </w:tc>
        <w:tc>
          <w:tcPr>
            <w:tcW w:type="dxa" w:w="4320"/>
          </w:tcPr>
          <w:p>
            <w:r/>
            <w:r>
              <w:rPr/>
              <w:t>Driver scheduling.</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Driver's Claude decision layer, the Gamma </w:t>
            </w:r>
            <w:r>
              <w:rPr>
                <w:b/>
              </w:rPr>
              <w:t>Analyze</w:t>
            </w:r>
            <w:r>
              <w:rPr/>
              <w:t>/</w:t>
            </w:r>
            <w:r>
              <w:rPr>
                <w:b/>
              </w:rPr>
              <w:t>Explain</w:t>
            </w:r>
            <w:r>
              <w:rPr/>
              <w:t xml:space="preserve"> infographics + the 4×/day auto-briefings, and the market summary (the ticker and the Desk's Market Summary frame — one sentence, one generator).</w:t>
            </w:r>
          </w:p>
        </w:tc>
        <w:tc>
          <w:tcPr>
            <w:tcW w:type="dxa" w:w="2880"/>
          </w:tcPr>
          <w:p>
            <w:r/>
            <w:r>
              <w:rPr/>
              <w:t>Optional</w:t>
            </w:r>
          </w:p>
        </w:tc>
      </w:tr>
    </w:tbl>
    <w:p/>
    <w:p>
      <w:r>
        <w:rPr/>
        <w:t xml:space="preserve">Without a key those features </w:t>
      </w:r>
      <w:r>
        <w:rPr>
          <w:b/>
        </w:rPr>
        <w:t>degrade safely</w:t>
      </w:r>
      <w:r>
        <w:rPr/>
        <w:t xml:space="preserve"> — most importantly the autonomous</w:t>
        <w:br/>
        <w:t xml:space="preserve">driver </w:t>
      </w:r>
      <w:r>
        <w:rPr>
          <w:b/>
        </w:rPr>
        <w:t>stands down rather than trading blind</w:t>
      </w:r>
      <w:r>
        <w:rPr/>
        <w:t>, and the Gamma infographics render</w:t>
        <w:br/>
        <w:t>a readable "no key" page.</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8214</w:t>
            </w:r>
          </w:p>
        </w:tc>
        <w:tc>
          <w:tcPr>
            <w:tcW w:type="dxa" w:w="2880"/>
          </w:tcPr>
          <w:p>
            <w:r/>
            <w:r>
              <w:rPr/>
              <w:t>driver_svc</w:t>
            </w:r>
          </w:p>
        </w:tc>
        <w:tc>
          <w:tcPr>
            <w:tcW w:type="dxa" w:w="2880"/>
          </w:tcPr>
          <w:p>
            <w:r/>
            <w:r>
              <w:rPr/>
              <w:t>Required</w:t>
            </w:r>
          </w:p>
        </w:tc>
      </w:tr>
      <w:tr>
        <w:tc>
          <w:tcPr>
            <w:tcW w:type="dxa" w:w="2880"/>
            <w:shd w:val="clear" w:color="auto" w:fill="F4F6FA"/>
          </w:tcPr>
          <w:p>
            <w:r/>
            <w:r>
              <w:rPr/>
              <w:t>8215</w:t>
            </w:r>
          </w:p>
        </w:tc>
        <w:tc>
          <w:tcPr>
            <w:tcW w:type="dxa" w:w="2880"/>
            <w:shd w:val="clear" w:color="auto" w:fill="F4F6FA"/>
          </w:tcPr>
          <w:p>
            <w:r/>
            <w:r>
              <w:rPr/>
              <w:t>market_svc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rFonts w:ascii="Consolas" w:hAnsi="Consolas"/>
          <w:color w:val="334455"/>
          <w:sz w:val="19"/>
        </w:rPr>
        <w:t>config/ports.toml</w:t>
      </w:r>
      <w:r>
        <w:rPr/>
        <w:t xml:space="preserve"> also lists </w:t>
      </w:r>
      <w:r>
        <w:rPr>
          <w:rFonts w:ascii="Consolas" w:hAnsi="Consolas"/>
          <w:color w:val="334455"/>
          <w:sz w:val="19"/>
        </w:rPr>
        <w:t>options_analytics = 8200</w:t>
      </w:r>
      <w:r>
        <w:rPr/>
        <w:t xml:space="preserve">, </w:t>
      </w:r>
      <w:r>
        <w:rPr>
          <w:rFonts w:ascii="Consolas" w:hAnsi="Consolas"/>
          <w:color w:val="334455"/>
          <w:sz w:val="19"/>
        </w:rPr>
        <w:t>approval = 8300</w:t>
      </w:r>
      <w:r>
        <w:rPr/>
        <w:t>,</w:t>
        <w:br/>
      </w:r>
      <w:r>
        <w:rPr>
          <w:rFonts w:ascii="Consolas" w:hAnsi="Consolas"/>
          <w:color w:val="334455"/>
          <w:sz w:val="19"/>
        </w:rPr>
        <w:t>dashboard_frontend = 5173</w:t>
      </w:r>
      <w:r>
        <w:rPr/>
        <w:t xml:space="preserve">, and an </w:t>
      </w:r>
      <w:r>
        <w:rPr>
          <w:rFonts w:ascii="Consolas" w:hAnsi="Consolas"/>
          <w:color w:val="334455"/>
          <w:sz w:val="19"/>
        </w:rPr>
        <w:t>[ml_servers]</w:t>
      </w:r>
      <w:r>
        <w:rPr/>
        <w:t xml:space="preserve"> block (MES 8000 / MNQ 8001 /</w:t>
        <w:br/>
        <w:t xml:space="preserve">ES 8004 / NQ 8005). </w:t>
      </w:r>
      <w:r>
        <w:rPr>
          <w:b/>
        </w:rPr>
        <w:t>None of these are started by this repo</w:t>
      </w:r>
      <w:r>
        <w:rPr/>
        <w:t xml:space="preserve"> — 5173 and 8300</w:t>
        <w:br/>
        <w:t>are legacy/retired, and the ML servers plus the 8200 analytics service are</w:t>
        <w:br/>
      </w:r>
      <w:r>
        <w:rPr>
          <w:b/>
        </w:rPr>
        <w:t>separate external processes</w:t>
      </w:r>
      <w:r>
        <w:rPr/>
        <w:t xml:space="preserve"> that </w:t>
      </w:r>
      <w:r>
        <w:rPr>
          <w:rFonts w:ascii="Consolas" w:hAnsi="Consolas"/>
          <w:color w:val="334455"/>
          <w:sz w:val="19"/>
        </w:rPr>
        <w:t>claude-driver</w:t>
      </w:r>
      <w:r>
        <w:rPr/>
        <w:t xml:space="preserve"> addresses over HTTP. If they</w:t>
        <w:br/>
        <w:t>aren't running, those paths simply degrade.</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r>
        <w:tc>
          <w:tcPr>
            <w:tcW w:type="dxa" w:w="4320"/>
          </w:tcPr>
          <w:p>
            <w:r/>
            <w:r>
              <w:rPr>
                <w:b/>
              </w:rPr>
              <w:t>Driver model override</w:t>
            </w:r>
          </w:p>
        </w:tc>
        <w:tc>
          <w:tcPr>
            <w:tcW w:type="dxa" w:w="4320"/>
          </w:tcPr>
          <w:p>
            <w:r/>
            <w:r>
              <w:rPr>
                <w:rFonts w:ascii="Consolas" w:hAnsi="Consolas"/>
                <w:color w:val="334455"/>
                <w:sz w:val="19"/>
              </w:rPr>
              <w:t>DRIVER_MODEL</w:t>
            </w:r>
            <w:r>
              <w:rPr/>
              <w:t xml:space="preserve"> env var → gitignored </w:t>
            </w:r>
            <w:r>
              <w:rPr>
                <w:rFonts w:ascii="Consolas" w:hAnsi="Consolas"/>
                <w:color w:val="334455"/>
                <w:sz w:val="19"/>
              </w:rPr>
              <w:t>shared/driver_model.txt</w:t>
            </w:r>
            <w:r>
              <w:rPr/>
              <w:t xml:space="preserve"> (defaults to the built-in model id).</w:t>
            </w:r>
          </w:p>
        </w:tc>
      </w:tr>
    </w:tbl>
    <w:p/>
    <w:p>
      <w:pPr>
        <w:pStyle w:val="Heading2"/>
      </w:pPr>
      <w:r>
        <w:rPr/>
        <w:t>Startup order</w:t>
      </w:r>
    </w:p>
    <w:p>
      <w:r>
        <w:rPr/>
        <w:t xml:space="preserve">The dependency chain is strict: </w:t>
      </w:r>
      <w:r>
        <w:rPr>
          <w:b/>
        </w:rPr>
        <w:t>Redis → schwab-proxy → the six services → webgui.</w:t>
      </w:r>
      <w:r>
        <w:rPr/>
        <w:br/>
        <w:t>Services wait on the proxy because every one of them resolves market data through it.</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http://127.0.0.1:82{10..15}/health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trade/driver/market).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w:t>
            </w:r>
          </w:p>
        </w:tc>
      </w:tr>
      <w:tr>
        <w:tc>
          <w:tcPr>
            <w:tcW w:type="dxa" w:w="2880"/>
          </w:tcPr>
          <w:p>
            <w:r/>
            <w:r>
              <w:rPr/>
              <w:t>driver_svc</w:t>
            </w:r>
          </w:p>
        </w:tc>
        <w:tc>
          <w:tcPr>
            <w:tcW w:type="dxa" w:w="2880"/>
          </w:tcPr>
          <w:p>
            <w:r/>
            <w:r>
              <w:rPr/>
              <w:t>8214</w:t>
            </w:r>
          </w:p>
        </w:tc>
        <w:tc>
          <w:tcPr>
            <w:tcW w:type="dxa" w:w="2880"/>
          </w:tcPr>
          <w:p>
            <w:r/>
            <w:r>
              <w:rPr/>
              <w:t>Autonomous decision layer (Claude + pure-code guardrails).</w:t>
            </w:r>
          </w:p>
        </w:tc>
      </w:tr>
      <w:tr>
        <w:tc>
          <w:tcPr>
            <w:tcW w:type="dxa" w:w="2880"/>
            <w:shd w:val="clear" w:color="auto" w:fill="F4F6FA"/>
          </w:tcPr>
          <w:p>
            <w:r/>
            <w:r>
              <w:rPr/>
              <w:t>market_svc</w:t>
            </w:r>
          </w:p>
        </w:tc>
        <w:tc>
          <w:tcPr>
            <w:tcW w:type="dxa" w:w="2880"/>
            <w:shd w:val="clear" w:color="auto" w:fill="F4F6FA"/>
          </w:tcPr>
          <w:p>
            <w:r/>
            <w:r>
              <w:rPr/>
              <w:t>8215</w:t>
            </w:r>
          </w:p>
        </w:tc>
        <w:tc>
          <w:tcPr>
            <w:tcW w:type="dxa" w:w="2880"/>
            <w:shd w:val="clear" w:color="auto" w:fill="F4F6FA"/>
          </w:tcPr>
          <w:p>
            <w:r/>
            <w:r>
              <w:rPr/>
              <w:t>Live macro-ticker Market Dashboard (~3 s RTH poll).</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fourteen public read-only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9210–9215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IntenseQuote"/>
      </w:pPr>
      <w:r>
        <w:rPr>
          <w:rFonts w:ascii="Consolas" w:hAnsi="Consolas"/>
          <w:color w:val="334455"/>
          <w:sz w:val="19"/>
        </w:rPr>
        <w:t>driver_svc</w:t>
      </w:r>
      <w:r>
        <w:rPr>
          <w:b/>
        </w:rPr>
        <w:t xml:space="preserve"> no longer runs a morning order-approval pipeline.</w:t>
      </w:r>
      <w:r>
        <w:rPr/>
        <w:t xml:space="preserve"> That queue and</w:t>
        <w:br/>
        <w:t xml:space="preserve">its </w:t>
      </w:r>
      <w:r>
        <w:rPr>
          <w:rFonts w:ascii="Consolas" w:hAnsi="Consolas"/>
          <w:color w:val="334455"/>
          <w:sz w:val="19"/>
        </w:rPr>
        <w:t>claude-driver</w:t>
      </w:r>
      <w:r>
        <w:rPr/>
        <w:t xml:space="preserve"> engine were removed in July 2026. The service now runs</w:t>
        <w:br/>
        <w:t xml:space="preserve">autonomous checkpoints whose output is a command on </w:t>
      </w:r>
      <w:r>
        <w:rPr>
          <w:rFonts w:ascii="Consolas" w:hAnsi="Consolas"/>
          <w:color w:val="334455"/>
          <w:sz w:val="19"/>
        </w:rPr>
        <w:t>cmd:options</w:t>
      </w:r>
      <w:r>
        <w:rPr/>
        <w:t>; the risk</w:t>
        <w:br/>
        <w:t xml:space="preserve">clamping is pure code in </w:t>
      </w:r>
      <w:r>
        <w:rPr>
          <w:rFonts w:ascii="Consolas" w:hAnsi="Consolas"/>
          <w:color w:val="334455"/>
          <w:sz w:val="19"/>
        </w:rPr>
        <w:t>guardrails.py</w:t>
      </w:r>
      <w:r>
        <w:rPr/>
        <w:t>, never the model.</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claude-driver/</w:t>
            </w:r>
          </w:p>
        </w:tc>
        <w:tc>
          <w:tcPr>
            <w:tcW w:type="dxa" w:w="4320"/>
            <w:shd w:val="clear" w:color="auto" w:fill="F4F6FA"/>
          </w:tcPr>
          <w:p>
            <w:r/>
            <w:r>
              <w:rPr/>
              <w:t>Morning orchestration + order approval logic.</w:t>
            </w:r>
          </w:p>
        </w:tc>
      </w:tr>
      <w:tr>
        <w:tc>
          <w:tcPr>
            <w:tcW w:type="dxa" w:w="4320"/>
          </w:tcPr>
          <w:p>
            <w:r/>
            <w:r>
              <w:rPr>
                <w:rFonts w:ascii="Consolas" w:hAnsi="Consolas"/>
                <w:color w:val="334455"/>
                <w:sz w:val="19"/>
              </w:rPr>
              <w:t>shared/</w:t>
            </w:r>
          </w:p>
        </w:tc>
        <w:tc>
          <w:tcPr>
            <w:tcW w:type="dxa" w:w="4320"/>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shd w:val="clear" w:color="auto" w:fill="F4F6FA"/>
          </w:tcPr>
          <w:p>
            <w:r/>
            <w:r>
              <w:rPr>
                <w:rFonts w:ascii="Consolas" w:hAnsi="Consolas"/>
                <w:color w:val="334455"/>
                <w:sz w:val="19"/>
              </w:rPr>
              <w:t>services/</w:t>
            </w:r>
          </w:p>
        </w:tc>
        <w:tc>
          <w:tcPr>
            <w:tcW w:type="dxa" w:w="4320"/>
            <w:shd w:val="clear" w:color="auto" w:fill="F4F6FA"/>
          </w:tcPr>
          <w:p>
            <w:r/>
            <w:r>
              <w:rPr/>
              <w:t>The six Tier-2 domain services.</w:t>
            </w:r>
          </w:p>
        </w:tc>
      </w:tr>
      <w:tr>
        <w:tc>
          <w:tcPr>
            <w:tcW w:type="dxa" w:w="4320"/>
          </w:tcPr>
          <w:p>
            <w:r/>
            <w:r>
              <w:rPr>
                <w:rFonts w:ascii="Consolas" w:hAnsi="Consolas"/>
                <w:color w:val="334455"/>
                <w:sz w:val="19"/>
              </w:rPr>
              <w:t>webgui/</w:t>
            </w:r>
          </w:p>
        </w:tc>
        <w:tc>
          <w:tcPr>
            <w:tcW w:type="dxa" w:w="4320"/>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w:t>
      </w:r>
      <w:r>
        <w:rPr>
          <w:rFonts w:ascii="Consolas" w:hAnsi="Consolas"/>
          <w:color w:val="334455"/>
          <w:sz w:val="19"/>
        </w:rPr>
        <w:t>score_fallback</w:t>
      </w:r>
      <w:r>
        <w:t>, and the tk app's day/3d/week blend at</w:t>
        <w:br/>
        <w:t xml:space="preserve">  40/40/20) — base 5 with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the </w:t>
      </w:r>
      <w:r>
        <w:rPr>
          <w:rFonts w:ascii="Consolas" w:hAnsi="Consolas"/>
          <w:color w:val="334455"/>
          <w:sz w:val="19"/>
        </w:rPr>
        <w:t>regime_intraday</w:t>
      </w:r>
      <w:r>
        <w:rPr/>
        <w:t xml:space="preserve"> DB columns and the driver packet.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 in four</w:t>
        <w:br/>
        <w:t>tiers</w:t>
      </w:r>
      <w:r>
        <w:rPr/>
        <w:t xml:space="preserve"> (</w:t>
      </w:r>
      <w:r>
        <w:rPr>
          <w:rFonts w:ascii="Consolas" w:hAnsi="Consolas"/>
          <w:color w:val="334455"/>
          <w:sz w:val="19"/>
        </w:rPr>
        <w:t>webgui/pages/sentiment.py</w:t>
      </w:r>
      <w:r>
        <w:rPr/>
        <w:t xml:space="preserve">, </w:t>
      </w:r>
      <w:r>
        <w:rPr>
          <w:rFonts w:ascii="Consolas" w:hAnsi="Consolas"/>
          <w:color w:val="334455"/>
          <w:sz w:val="19"/>
        </w:rPr>
        <w:t>driver_svc/compute.py</w:t>
      </w:r>
      <w:r>
        <w:rPr/>
        <w:t>,</w:t>
        <w:br/>
      </w:r>
      <w:r>
        <w:rPr>
          <w:rFonts w:ascii="Consolas" w:hAnsi="Consolas"/>
          <w:color w:val="334455"/>
          <w:sz w:val="19"/>
        </w:rPr>
        <w:t>options_svc/market_snapshot.py</w:t>
      </w:r>
      <w:r>
        <w:rPr/>
        <w:t>)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 xml:space="preserve">expiration list it falls back to one fetch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calculate_macd(df,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rFonts w:ascii="Consolas" w:hAnsi="Consolas"/>
          <w:color w:val="334455"/>
          <w:sz w:val="19"/>
        </w:rPr>
        <w:t>macd_histogram_series(df)</w:t>
      </w:r>
      <w:r>
        <w:rPr/>
        <w:t xml:space="preserve"> returns the full histogram series (so callers can read</w:t>
        <w:br/>
        <w:t>the prior bar for 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quantile_spread</w:t>
      </w:r>
      <w:r>
        <w:t xml:space="preserve"> — mean forward of the top minus the bottom quintile, per date,</w:t>
        <w:br/>
        <w:t xml:space="preserve">  averaged.</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P&amp;L/tailwind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2 minutes within 08:30–15:20 CT on</w:t>
        <w:br/>
        <w:t xml:space="preserve">trading days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driver</w:t>
            </w:r>
            <w:r>
              <w:rPr/>
              <w:t xml:space="preserve"> paper auto-manage every </w:t>
            </w:r>
            <w:r>
              <w:rPr>
                <w:b/>
              </w:rPr>
              <w:t>1 min</w:t>
            </w:r>
            <w:r>
              <w:rPr/>
              <w:t xml:space="preserve"> (</w:t>
            </w:r>
            <w:r>
              <w:rPr>
                <w:rFonts w:ascii="Consolas" w:hAnsi="Consolas"/>
                <w:color w:val="334455"/>
                <w:sz w:val="19"/>
              </w:rPr>
              <w:t>_MANAGE_INTERVAL_MIN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On-demand only (no scheduler).</w:t>
            </w:r>
          </w:p>
        </w:tc>
      </w:tr>
      <w:tr>
        <w:tc>
          <w:tcPr>
            <w:tcW w:type="dxa" w:w="4320"/>
          </w:tcPr>
          <w:p>
            <w:r/>
            <w:r>
              <w:rPr/>
              <w:t>driver_svc</w:t>
            </w:r>
          </w:p>
        </w:tc>
        <w:tc>
          <w:tcPr>
            <w:tcW w:type="dxa" w:w="4320"/>
          </w:tcPr>
          <w:p>
            <w:r/>
            <w:r>
              <w:rPr/>
              <w:t xml:space="preserve">Run gate polled every </w:t>
            </w:r>
            <w:r>
              <w:rPr>
                <w:b/>
              </w:rPr>
              <w:t>30 s</w:t>
            </w:r>
            <w:r>
              <w:rPr/>
              <w:t xml:space="preserve"> (</w:t>
            </w:r>
            <w:r>
              <w:rPr>
                <w:rFonts w:ascii="Consolas" w:hAnsi="Consolas"/>
                <w:color w:val="334455"/>
                <w:sz w:val="19"/>
              </w:rPr>
              <w:t>POLL_INTERVAL_SEC</w:t>
            </w:r>
            <w:r>
              <w:rPr/>
              <w:t xml:space="preserve">); checkpoints every </w:t>
            </w:r>
            <w:r>
              <w:rPr>
                <w:b/>
              </w:rPr>
              <w:t>30 min</w:t>
            </w:r>
            <w:r>
              <w:rPr/>
              <w:t xml:space="preserve"> (</w:t>
            </w:r>
            <w:r>
              <w:rPr>
                <w:rFonts w:ascii="Consolas" w:hAnsi="Consolas"/>
                <w:color w:val="334455"/>
                <w:sz w:val="19"/>
              </w:rPr>
              <w:t>CHECKPOINT_MIN</w:t>
            </w:r>
            <w:r>
              <w:rPr/>
              <w:t xml:space="preserve">, from </w:t>
            </w:r>
            <w:r>
              <w:rPr>
                <w:rFonts w:ascii="Consolas" w:hAnsi="Consolas"/>
                <w:color w:val="334455"/>
                <w:sz w:val="19"/>
              </w:rPr>
              <w:t>config/driver.toml</w:t>
            </w:r>
            <w:r>
              <w:rPr/>
              <w:t xml:space="preserve">) inside the </w:t>
            </w:r>
            <w:r>
              <w:rPr>
                <w:b/>
              </w:rPr>
              <w:t>09:45–15:30 ET</w:t>
            </w:r>
            <w:r>
              <w:rPr/>
              <w:t xml:space="preserve"> entry window (</w:t>
            </w:r>
            <w:r>
              <w:rPr>
                <w:rFonts w:ascii="Consolas" w:hAnsi="Consolas"/>
                <w:color w:val="334455"/>
                <w:sz w:val="19"/>
              </w:rPr>
              <w:t>checkpoint_due</w:t>
            </w:r>
            <w:r>
              <w:rPr/>
              <w:t>) — the open-bell slot is deliberately skipped, so the first fire-able slot is 09:45 and the last entry decision is the 15:00 slot.</w:t>
            </w:r>
          </w:p>
        </w:tc>
      </w:tr>
      <w:tr>
        <w:tc>
          <w:tcPr>
            <w:tcW w:type="dxa" w:w="4320"/>
            <w:shd w:val="clear" w:color="auto" w:fill="F4F6FA"/>
          </w:tcPr>
          <w:p>
            <w:r/>
            <w:r>
              <w:rPr/>
              <w:t>market_svc</w:t>
            </w:r>
          </w:p>
        </w:tc>
        <w:tc>
          <w:tcPr>
            <w:tcW w:type="dxa" w:w="4320"/>
            <w:shd w:val="clear" w:color="auto" w:fill="F4F6FA"/>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Claude summary is </w:t>
            </w:r>
            <w:r>
              <w:rPr>
                <w:b/>
              </w:rPr>
              <w:t>change-driven, not clocked</w:t>
            </w:r>
            <w:r>
              <w:rPr/>
              <w:t xml:space="preserve"> (2026-09-10) — each poll builds a fingerprint of the six readings at display resolution — the Bull/Bear sector counts compared with a one-sector tolerance — and writes a new sentence only when that fingerprint has moved, at least </w:t>
            </w:r>
            <w:r>
              <w:rPr>
                <w:b/>
              </w:rPr>
              <w:t>10 min</w:t>
            </w:r>
            <w:r>
              <w:rPr/>
              <w:t xml:space="preserve"> have passed since the last attempt (</w:t>
            </w:r>
            <w:r>
              <w:rPr>
                <w:rFonts w:ascii="Consolas" w:hAnsi="Consolas"/>
                <w:color w:val="334455"/>
                <w:sz w:val="19"/>
              </w:rPr>
              <w:t>SUMMARY_MIN_GAP_SEC</w:t>
            </w:r>
            <w:r>
              <w:rPr/>
              <w:t xml:space="preserve">), and fewer than </w:t>
            </w:r>
            <w:r>
              <w:rPr>
                <w:b/>
              </w:rPr>
              <w:t>30</w:t>
            </w:r>
            <w:r>
              <w:rPr/>
              <w:t xml:space="preserve"> attempts have been made that CT day (</w:t>
            </w:r>
            <w:r>
              <w:rPr>
                <w:rFonts w:ascii="Consolas" w:hAnsi="Consolas"/>
                <w:color w:val="334455"/>
                <w:sz w:val="19"/>
              </w:rPr>
              <w:t>SUMMARY_DAILY_CAP</w:t>
            </w:r>
            <w:r>
              <w:rPr/>
              <w:t>); a failed attempt still counts toward both and is retried once the gap has passed, while a reply the accuracy checks refuse counts too but is never retried on the same readings; nothing moves overnight or at weekends, so nothing is called.</w:t>
            </w:r>
          </w:p>
        </w:tc>
      </w:tr>
    </w:tbl>
    <w:p/>
    <w:p>
      <w:pPr>
        <w:pStyle w:val="IntenseQuote"/>
      </w:pPr>
      <w:r>
        <w:rPr>
          <w:b/>
        </w:rPr>
        <w:t>Two cadences are easy to state wrongly, because they used to be the same</w:t>
        <w:br/>
        <w:t>number.</w:t>
      </w:r>
      <w:r>
        <w:rPr/>
        <w:t xml:space="preserve"> The </w:t>
      </w:r>
      <w:r>
        <w:rPr>
          <w:b/>
        </w:rPr>
        <w:t>driver's</w:t>
      </w:r>
      <w:r>
        <w:rPr/>
        <w:t xml:space="preserve"> isolated paper account re-prices every </w:t>
      </w:r>
      <w:r>
        <w:rPr>
          <w:b/>
        </w:rPr>
        <w:t>1 minute</w:t>
      </w:r>
      <w:r>
        <w:rPr/>
        <w:br/>
        <w:t>(raised from 5 in July 2026 so its stops react within the minute and the −$1,500</w:t>
        <w:br/>
        <w:t xml:space="preserve">loss-halt read stays fresh). The </w:t>
      </w:r>
      <w:r>
        <w:rPr>
          <w:b/>
        </w:rPr>
        <w:t>manual</w:t>
      </w:r>
      <w:r>
        <w:rPr/>
        <w:t xml:space="preserve"> paper account moved the other way, to</w:t>
        <w:br/>
        <w:t xml:space="preserve">an </w:t>
      </w:r>
      <w:r>
        <w:rPr>
          <w:b/>
        </w:rPr>
        <w:t>hourly</w:t>
      </w:r>
      <w:r>
        <w:rPr/>
        <w:t xml:space="preserve"> top-of-the-hour cycle. They are different books on different clocks.</w:t>
      </w:r>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