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 xml:space="preserve">human voice — the ticker spelled letter by letter, then the cause: </w:t>
      </w:r>
      <w:r>
        <w:rPr>
          <w:i/>
        </w:rPr>
        <w:t>"S P Y.</w:t>
        <w:br/>
        <w:t>Crossover alert, calls over."</w:t>
      </w:r>
      <w:r>
        <w:rPr/>
        <w:t xml:space="preserve"> — and the row glows cyan for ten seconds. Tickers are</w:t>
        <w:br/>
        <w:t>always spelled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/>
        <w:t>Three rules are worth knowing, because each is a decision rather than an 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cause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Trade Analyzer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