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2026-08-21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</w:t>
            </w:r>
            <w:r>
              <w:rPr>
                <w:b/>
              </w:rPr>
              <w:t>VIX</w:t>
            </w:r>
            <w:r>
              <w:rPr/>
              <w:t xml:space="preserve"> and its band, the </w:t>
            </w:r>
            <w:r>
              <w:rPr>
                <w:b/>
              </w:rPr>
              <w:t>market regime</w:t>
            </w:r>
            <w:r>
              <w:rPr/>
              <w:t xml:space="preserve"> word, and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the ticker and the cause — </w:t>
      </w:r>
      <w:r>
        <w:rPr>
          <w:i/>
        </w:rPr>
        <w:t>"S P Y. Crossover alert, calls</w:t>
        <w:br/>
        <w:t>over."</w:t>
      </w:r>
      <w:r>
        <w:rPr/>
        <w:t xml:space="preserve"> — and the row itself </w:t>
      </w:r>
      <w:r>
        <w:rPr>
          <w:b/>
        </w:rPr>
        <w:t>glows for ten seconds</w:t>
      </w:r>
      <w:r>
        <w:rPr/>
        <w:t>, so your eye lands where the</w:t>
        <w:br/>
        <w:t>voice pointed. Tickers are spelled letter by letter, squawk-box style. If several</w:t>
        <w:br/>
        <w:t>arrive together it names the newest and counts the rest ("plus 5 more") rather than</w:t>
        <w:br/>
        <w:t>reading out a list.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VIX but not SPX or QQQ.</w:t>
      </w:r>
      <w:r>
        <w:t xml:space="preserve"> Those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Trade Analyzer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br/>
        <w:t>(tabbing out of the field does it too).</w:t>
      </w:r>
    </w:p>
    <w:p>
      <w:r>
        <w:rPr>
          <w:b/>
        </w:rPr>
        <w:t>Two more buttons sit beside Analyze, and each opens a separate screen in a new</w:t>
        <w:br/>
        <w:t>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A full standalone report for the symbol — technicals, fundamentals and short interest, plus options analytics (at-the-money IV, implied move, max pain, 25-delta skew, IV term structure, 30-day constant-maturity IV, net GEX and flip, open-interest walls) and an IV/RV rank.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digest formatted as a </w:t>
            </w:r>
            <w:r>
              <w:rPr>
                <w:b/>
              </w:rPr>
              <w:t>copyable chat prompt</w:t>
            </w:r>
            <w:r>
              <w:rPr/>
              <w:t xml:space="preserve"> you can paste into an AI assistant. It makes </w:t>
            </w:r>
            <w:r>
              <w:rPr>
                <w:b/>
              </w:rPr>
              <w:t>no</w:t>
            </w:r>
            <w:r>
              <w:rPr/>
              <w:t xml:space="preserve"> API call itself, so it costs nothing.</w:t>
            </w:r>
          </w:p>
        </w:tc>
      </w:tr>
    </w:tbl>
    <w:p/>
    <w:p>
      <w:pPr>
        <w:pStyle w:val="IntenseQuote"/>
      </w:pPr>
      <w:r>
        <w:rPr/>
        <w:t>IV rank reads "building" until enough daily snapshots have accumulated for that</w:t>
        <w:br/>
        <w:t>symbol. That is expected on a name you have just started analyzing.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Two verdict cards side by side</w:t>
      </w:r>
      <w:r>
        <w:t xml:space="preserve"> — </w:t>
      </w:r>
      <w:r>
        <w:rPr>
          <w:b/>
        </w:rPr>
        <w:t>Position</w:t>
      </w:r>
      <w:r>
        <w:t xml:space="preserve"> (1–8 weeks) and </w:t>
      </w:r>
      <w:r>
        <w:rPr>
          <w:b/>
        </w:rPr>
        <w:t>Investor</w:t>
      </w:r>
      <w:r>
        <w:br/>
        <w:t xml:space="preserve">  (months+):</w:t>
      </w:r>
    </w:p>
    <w:p>
      <w:pPr>
        <w:pStyle w:val="ListBullet"/>
      </w:pPr>
      <w:r>
        <w:rPr>
          <w:b/>
        </w:rPr>
        <w:t>Position (1–8 weeks)</w:t>
      </w:r>
      <w:r>
        <w:t xml:space="preserve"> is </w:t>
      </w:r>
      <w:r>
        <w:rPr>
          <w:b/>
        </w:rPr>
        <w:t>backtested</w:t>
      </w:r>
      <w:r>
        <w:t>. Rather than a hand-tuned score, it</w:t>
        <w:br/>
        <w:t xml:space="preserve">    ranks the stock on a set of price/volume factors that were </w:t>
      </w:r>
      <w:r>
        <w:rPr>
          <w:i/>
        </w:rPr>
        <w:t>validated against real</w:t>
        <w:br/>
        <w:t xml:space="preserve">    forward returns</w:t>
      </w:r>
      <w:r>
        <w:t xml:space="preserve"> (which factors matter, and by how much, was learned from history —</w:t>
        <w:br/>
        <w:t xml:space="preserve">    not guessed), then places it in a </w:t>
      </w:r>
      <w:r>
        <w:rPr>
          <w:b/>
        </w:rPr>
        <w:t>calibrated band</w:t>
      </w:r>
      <w:r>
        <w:t>. The headline shows the</w:t>
        <w:br/>
        <w:t xml:space="preserve">    Buy / Hold / Sell verdict for that band plus what the band has </w:t>
      </w:r>
      <w:r>
        <w:rPr>
          <w:i/>
        </w:rPr>
        <w:t>historically</w:t>
      </w:r>
      <w:r>
        <w:br/>
        <w:t xml:space="preserve">    delivered: a band </w:t>
      </w:r>
      <w:r>
        <w:rPr>
          <w:b/>
        </w:rPr>
        <w:t>percentile</w:t>
      </w:r>
      <w:r>
        <w:t xml:space="preserve">, an </w:t>
      </w:r>
      <w:r>
        <w:rPr>
          <w:b/>
        </w:rPr>
        <w:t>expected return</w:t>
      </w:r>
      <w:r>
        <w:t xml:space="preserve"> over the model's horizon</w:t>
        <w:br/>
        <w:t xml:space="preserve">    (≈ 4 weeks), and how often names in that band </w:t>
      </w:r>
      <w:r>
        <w:rPr>
          <w:b/>
        </w:rPr>
        <w:t>beat the S&amp;P 500</w:t>
      </w:r>
      <w:r>
        <w:t xml:space="preserve"> — e.g.</w:t>
        <w:br/>
        <w:t xml:space="preserve">    </w:t>
      </w:r>
      <w:r>
        <w:rPr>
          <w:i/>
        </w:rPr>
        <w:t>"90th pctile · +1.3% / 20d · 52% beat-SPY"</w:t>
      </w:r>
      <w:r>
        <w:t xml:space="preserve">. Open </w:t>
      </w:r>
      <w:r>
        <w:rPr>
          <w:b/>
        </w:rPr>
        <w:t>"Why — validated factors"</w:t>
      </w:r>
      <w:r>
        <w:t xml:space="preserve"> to</w:t>
        <w:br/>
        <w:t xml:space="preserve">    see each factor's contribution (momentum, trend quality, relative strength,</w:t>
        <w:br/>
        <w:t xml:space="preserve">    volatility, turnover…) and the </w:t>
      </w:r>
      <w:r>
        <w:rPr>
          <w:b/>
        </w:rPr>
        <w:t>model's own track record</w:t>
      </w:r>
      <w:r>
        <w:t xml:space="preserve"> (its version date and</w:t>
        <w:br/>
        <w:t xml:space="preserve">    out-of-sample accuracy). The previous hand-tuned verdict is still available under a</w:t>
        <w:br/>
        <w:t xml:space="preserve">    collapsed </w:t>
      </w:r>
      <w:r>
        <w:rPr>
          <w:b/>
        </w:rPr>
        <w:t>"Legacy heuristic"</w:t>
      </w:r>
      <w:r>
        <w:t xml:space="preserve"> section for comparison. </w:t>
      </w:r>
      <w:r>
        <w:rPr>
          <w:i/>
        </w:rPr>
        <w:t>Honest note:</w:t>
      </w:r>
      <w:r>
        <w:t xml:space="preserve"> the edge is</w:t>
        <w:br/>
        <w:t xml:space="preserve">    real but </w:t>
      </w:r>
      <w:r>
        <w:rPr>
          <w:b/>
        </w:rPr>
        <w:t>small and regime-dependent</w:t>
      </w:r>
      <w:r>
        <w:t xml:space="preserve"> — treat it as one weighted input, not a</w:t>
        <w:br/>
        <w:t xml:space="preserve">    guarantee. The </w:t>
      </w:r>
      <w:r>
        <w:rPr>
          <w:b/>
        </w:rPr>
        <w:t>Investor (months+)</w:t>
      </w:r>
      <w:r>
        <w:t xml:space="preserve"> validation is deferred (it needs fundamentals</w:t>
        <w:br/>
        <w:t xml:space="preserve">    history), so that card is unchanged.</w:t>
      </w:r>
    </w:p>
    <w:p>
      <w:pPr>
        <w:pStyle w:val="ListBullet"/>
      </w:pPr>
      <w:r>
        <w:rPr>
          <w:b/>
        </w:rPr>
        <w:t>Investor (months+)</w:t>
      </w:r>
      <w:r>
        <w:rPr/>
        <w:t xml:space="preserve"> shows a Buy / Hold / Sell verdict (color-coded), a score,</w:t>
        <w:br/>
        <w:t xml:space="preserve">    the top reasons, any hard "gates" that fired, and an expandable factor breakdown.</w:t>
      </w:r>
      <w:r>
        <w:rPr/>
        <w:br/>
      </w:r>
      <w:r>
        <w:rPr>
          <w:b/>
        </w:rPr>
        <w:t>The Markov Forecast card was removed in June 2026</w:t>
      </w:r>
      <w:r>
        <w:rPr/>
        <w:t xml:space="preserve"> and no longer appears on</w:t>
        <w:br/>
        <w:t xml:space="preserve">this page. It projected the </w:t>
      </w:r>
      <w:r>
        <w:rPr>
          <w:i/>
        </w:rPr>
        <w:t>legacy</w:t>
      </w:r>
      <w:r>
        <w:rPr/>
        <w:t xml:space="preserve"> technical-momentum score, which contradicted</w:t>
        <w:br/>
        <w:t>the validated Position read sitting beside it. The underlying forecast is still</w:t>
        <w:br/>
        <w:t>computed and still reaches the data feed, but nothing on this screen renders it.</w:t>
      </w:r>
      <w:r>
        <w:rPr/>
        <w:br/>
      </w:r>
    </w:p>
    <w:p>
      <w:pPr>
        <w:pStyle w:val="ListBullet"/>
      </w:pPr>
      <w:r>
        <w:rPr/>
        <w:t xml:space="preserve">An </w:t>
      </w:r>
      <w:r>
        <w:rPr>
          <w:b/>
        </w:rPr>
        <w:t>MTF EMA Alignment</w:t>
      </w:r>
      <w:r>
        <w:rPr/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Memurai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