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2026-10-09</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Eighteen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and </w:t>
      </w:r>
      <w:r>
        <w:rPr>
          <w:b/>
        </w:rPr>
        <w:t>Market News</w:t>
      </w:r>
      <w:r>
        <w:rPr/>
        <w:t>.</w:t>
      </w:r>
    </w:p>
    <w:p>
      <w:r>
        <w:rPr>
          <w:b/>
        </w:rPr>
        <w:t>Option Signals</w:t>
      </w:r>
      <w:r>
        <w:rPr/>
        <w:t xml:space="preserve"> (</w:t>
      </w:r>
      <w:r>
        <w:rPr>
          <w:rFonts w:ascii="Consolas" w:hAnsi="Consolas"/>
          <w:color w:val="334455"/>
          <w:sz w:val="19"/>
        </w:rPr>
        <w:t>/signals</w:t>
      </w:r>
      <w:r>
        <w:rPr/>
        <w:t>, first in the site's Tools menu)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read</w:t>
            </w:r>
            <w:r>
              <w:rPr/>
              <w:t xml:space="preserve"> (button, top right)</w:t>
            </w:r>
          </w:p>
        </w:tc>
        <w:tc>
          <w:tcPr>
            <w:tcW w:type="dxa" w:w="4320"/>
          </w:tcPr>
          <w:p>
            <w:r/>
            <w:r>
              <w:rPr/>
              <w:t xml:space="preserve">Opens a popup of six readings, each marked Tailwind, Headwind or Neutral for stocks, retaken every 15 minutes in the session. The time and the count sit beside the button. See </w:t>
            </w:r>
            <w:r>
              <w:rPr>
                <w:color w:val="5D5294"/>
              </w:rPr>
              <w:t>The Market read</w:t>
            </w:r>
          </w:p>
        </w:tc>
      </w:tr>
      <w:tr>
        <w:tc>
          <w:tcPr>
            <w:tcW w:type="dxa" w:w="4320"/>
            <w:shd w:val="clear" w:color="auto" w:fill="F4F6FA"/>
          </w:tcPr>
          <w:p>
            <w:r/>
            <w:r>
              <w:rPr>
                <w:b/>
              </w:rPr>
              <w:t>Market report</w:t>
            </w:r>
            <w:r>
              <w:rPr/>
              <w:t xml:space="preserve"> (button, top right)</w:t>
            </w:r>
          </w:p>
        </w:tc>
        <w:tc>
          <w:tcPr>
            <w:tcW w:type="dxa" w:w="4320"/>
            <w:shd w:val="clear" w:color="auto" w:fill="F4F6FA"/>
          </w:tcPr>
          <w:p>
            <w:r/>
            <w:r>
              <w:rPr/>
              <w:t>Opens the latest published market report, in full, in a popup. Which report it is sits beside the button</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line beside the button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line beside the button for the report's age.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 line</w:t>
        <w:br/>
        <w:t>beside the button shows when the reading was taken and how it counts, for example</w:t>
        <w:br/>
        <w:t>"12:45 CT · next 13:00 · 2 tailwinds · 2 headwinds", so the page says something</w:t>
        <w:br/>
        <w:t>with the popup closed.</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Scale</w:t>
      </w:r>
      <w:r>
        <w:rPr/>
        <w:t xml:space="preserve"> (a picker beside Value)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t xml:space="preserve">The forward projection band on the Gamma heat map is drawn in </w:t>
      </w:r>
      <w:r>
        <w:rPr>
          <w:b/>
        </w:rPr>
        <w:t>Net</w:t>
      </w:r>
      <w:r>
        <w:rPr/>
        <w:t xml:space="preserve"> only, and not</w:t>
        <w:br/>
        <w:t>in Share of column. It is a net figure in dollars, so the other values and the</w:t>
        <w:br/>
        <w:t>percentage scale leave it out.</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When it lapses all market 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