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2026-10-20</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Aggregation only; it computes nothing of its own</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cover the collected minutes only, not the forward band.</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the forward band is not smoothed.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None imports </w:t>
      </w:r>
      <w:r>
        <w:rPr>
          <w:rFonts w:ascii="Consolas" w:hAnsi="Consolas"/>
          <w:color w:val="334455"/>
          <w:sz w:val="19"/>
        </w:rPr>
        <w:t>compute.py</w:t>
      </w:r>
      <w:r>
        <w:rPr/>
        <w:t xml:space="preserve">. Design: </w:t>
      </w:r>
      <w:r>
        <w:rPr>
          <w:rFonts w:ascii="Consolas" w:hAnsi="Consolas"/>
          <w:color w:val="334455"/>
          <w:sz w:val="19"/>
        </w:rPr>
        <w:t>docs/plans/2026-10-18-opening-scalp-design.md</w:t>
      </w:r>
      <w:r>
        <w:rPr/>
        <w:br/>
        <w:t xml:space="preserve">and </w:t>
      </w:r>
      <w:r>
        <w:rPr>
          <w:rFonts w:ascii="Consolas" w:hAnsi="Consolas"/>
          <w:color w:val="334455"/>
          <w:sz w:val="19"/>
        </w:rPr>
        <w:t>docs/plans/2026-10-20-scalp-intraday-calls-design.md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probability comes from</w:t>
        <w:br/>
      </w:r>
      <w:r>
        <w:rPr>
          <w:b/>
        </w:rPr>
        <w:t>price alone</w:t>
      </w:r>
      <w:r>
        <w:rPr/>
        <w:t xml:space="preserve"> (seven months of 5-minute bars); flow, net premium, the walls and</w:t>
        <w:br/>
        <w:t xml:space="preserve">sentiment are a </w:t>
      </w:r>
      <w:r>
        <w:rPr>
          <w:b/>
        </w:rPr>
        <w:t>confirmation reading</w:t>
      </w:r>
      <w:r>
        <w:rPr/>
        <w:t>, shown and recorded and not in the probability.</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and the page shows "n of 4 sources" beside the word.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t xml:space="preserve">belongs in the probability; </w:t>
      </w:r>
      <w:r>
        <w:rPr>
          <w:b/>
        </w:rPr>
        <w:t>that study is not built, and nothing is promoted</w:t>
        <w:br/>
        <w:t>automatically.</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Refresh</w:t>
            </w:r>
          </w:p>
        </w:tc>
        <w:tc>
          <w:tcPr>
            <w:tcW w:type="dxa" w:w="2880"/>
            <w:shd w:val="clear" w:color="auto" w:fill="F4F6FA"/>
          </w:tcPr>
          <w:p>
            <w:r/>
            <w:r>
              <w:rPr/>
              <w:t>on demand (</w:t>
            </w:r>
            <w:r>
              <w:rPr>
                <w:rFonts w:ascii="Consolas" w:hAnsi="Consolas"/>
                <w:color w:val="334455"/>
                <w:sz w:val="19"/>
              </w:rPr>
              <w:t>scalp_refresh</w:t>
            </w:r>
            <w:r>
              <w:rPr/>
              <w:t>)</w:t>
            </w:r>
          </w:p>
        </w:tc>
        <w:tc>
          <w:tcPr>
            <w:tcW w:type="dxa" w:w="2880"/>
            <w:shd w:val="clear" w:color="auto" w:fill="F4F6FA"/>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The 08:36 and nightly slot times are in </w:t>
      </w:r>
      <w:r>
        <w:rPr>
          <w:rFonts w:ascii="Consolas" w:hAnsi="Consolas"/>
          <w:color w:val="334455"/>
          <w:sz w:val="19"/>
        </w:rPr>
        <w:t>config/sessions.toml</w:t>
      </w:r>
      <w:r>
        <w:rPr/>
        <w:t>; the</w:t>
        <w:br/>
        <w:t xml:space="preserve">15-minute slots are </w:t>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Listed-stocks popularity re-rank</w:t>
            </w:r>
          </w:p>
        </w:tc>
        <w:tc>
          <w:tcPr>
            <w:tcW w:type="dxa" w:w="2880"/>
            <w:shd w:val="clear" w:color="auto" w:fill="F4F6FA"/>
          </w:tcPr>
          <w:p>
            <w:r/>
            <w:r>
              <w:rPr>
                <w:b/>
              </w:rPr>
              <w:t>Saturday, 08:00</w:t>
            </w:r>
            <w:r>
              <w:rPr/>
              <w:t xml:space="preserve"> (</w:t>
            </w:r>
            <w:r>
              <w:rPr>
                <w:rFonts w:ascii="Consolas" w:hAnsi="Consolas"/>
                <w:color w:val="334455"/>
                <w:sz w:val="19"/>
              </w:rPr>
              <w:t>[slots.stock_rank]</w:t>
            </w:r>
            <w:r>
              <w:rPr/>
              <w:t>)</w:t>
            </w:r>
          </w:p>
        </w:tc>
        <w:tc>
          <w:tcPr>
            <w:tcW w:type="dxa" w:w="2880"/>
            <w:shd w:val="clear" w:color="auto" w:fill="F4F6FA"/>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