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Colour scale.</w:t>
      </w:r>
      <w:r>
        <w:rPr/>
        <w:t xml:space="preserve"> The heat map's colours are symmetric about zero and clamp at the</w:t>
        <w:br/>
        <w:t>95th percentile of the absolute values on screen, recomputed on every paint. The</w:t>
        <w:br/>
        <w:t>strip beside the controls prints that maximum. The unit follows the formulas above:</w:t>
        <w:br/>
        <w:t>dollars of gamma per 1% move for GEX, dollars of delta for DEX. Charm and vanna</w:t>
        <w:br/>
        <w:t>exposures are printed as plain figures.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