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and </w:t>
            </w:r>
            <w:r>
              <w:rPr>
                <w:b/>
              </w:rPr>
              <w:t>Hedging-flow model (HIRO)</w:t>
            </w:r>
            <w:r>
              <w:rPr/>
              <w:t xml:space="preserve"> for the two hedging alerts)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