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API / Developer Reference</w:t>
      </w:r>
    </w:p>
    <w:p>
      <w:r>
        <w:rPr>
          <w:i/>
          <w:color w:val="5B6678"/>
          <w:sz w:val="18"/>
        </w:rPr>
        <w:t>WebGUI Trading with Schwab · Generated 2026-07-02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WebGUI Trading with Schwab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>.</w:t>
      </w:r>
    </w:p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(Memurai, 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at 09:28 ET and then every 30 minutes inside the entry</w:t>
        <w:br/>
        <w:t xml:space="preserve">window </w:t>
      </w:r>
      <w:r>
        <w:rPr>
          <w:b/>
        </w:rPr>
        <w:t>09:45–15:30 ET</w:t>
      </w:r>
      <w:r>
        <w:rPr/>
        <w:t>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summary the bottom ticker leads with.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SUMMARY_RTH_SEC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40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Claude verdict refresh during RTH.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 * 60</w:t>
            </w:r>
          </w:p>
        </w:tc>
        <w:tc>
          <w:tcPr>
            <w:tcW w:type="dxa" w:w="2880"/>
          </w:tcPr>
          <w:p>
            <w:r/>
            <w:r>
              <w:rPr/>
              <w:t>Claude verdict refresh off-hours.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/>
        <w:t xml:space="preserve">The Claude summary runs as a </w:t>
      </w:r>
      <w:r>
        <w:rPr>
          <w:b/>
        </w:rPr>
        <w:t>background task</w:t>
      </w:r>
      <w:r>
        <w:rPr/>
        <w:t xml:space="preserve"> rather than inline, so a slow</w:t>
        <w:br/>
        <w:t>completion cannot stall the 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enable_summary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Turn the Claude narrative on (</w:t>
            </w:r>
            <w:r>
              <w:rPr>
                <w:rFonts w:ascii="Consolas" w:hAnsi="Consolas"/>
                <w:color w:val="334455"/>
                <w:sz w:val="19"/>
              </w:rPr>
              <w:t>cache:market:summary_enabled</w:t>
            </w:r>
            <w:r>
              <w:rPr/>
              <w:t>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disable_summary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Turn it off. This stops the API calls, not just the display.</w:t>
            </w:r>
          </w:p>
        </w:tc>
      </w:tr>
    </w:tbl>
    <w:p/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cache:market:summary_enabled                                  (ticker/Claude toggle)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</w:t>
            </w:r>
          </w:p>
        </w:tc>
        <w:tc>
          <w:tcPr>
            <w:tcW w:type="dxa" w:w="2880"/>
          </w:tcPr>
          <w:p>
            <w:r/>
            <w:r>
              <w:rPr/>
              <w:t xml:space="preserve">Memurai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/>
            <w:r>
              <w:rPr/>
              <w:t xml:space="preserve">Memurai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