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2026-07-02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Two concrete uses:</w:t>
      </w:r>
    </w:p>
    <w:p>
      <w:pPr>
        <w:pStyle w:val="ListNumber"/>
      </w:pPr>
      <w:r>
        <w:rPr>
          <w:b/>
        </w:rPr>
        <w:t>Strike selection.</w:t>
      </w:r>
      <w:r>
        <w:t xml:space="preserve"> Selling a put credit spread below the put wall is materially</w:t>
        <w:br/>
        <w:t xml:space="preserve">   safer than selling one above it, because dealer buying supports that level.</w:t>
      </w:r>
    </w:p>
    <w:p>
      <w:pPr>
        <w:pStyle w:val="ListNumber"/>
      </w:pPr>
      <w:r>
        <w:rPr>
          <w:b/>
        </w:rPr>
        <w:t>Expectation setting.</w:t>
      </w:r>
      <w:r>
        <w:t xml:space="preserve"> Above the flip, an intraday breakout is more likely to fail</w:t>
        <w:br/>
        <w:t xml:space="preserve">   than follow through. Below it, the opposite. This alone should change position size.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The </w:t>
      </w:r>
      <w:r>
        <w:rPr>
          <w:b/>
        </w:rPr>
        <w:t>Term</w:t>
      </w:r>
      <w:r>
        <w:t xml:space="preserve"> heat map's vertical axis is </w:t>
      </w:r>
      <w:r>
        <w:rPr>
          <w:i/>
        </w:rPr>
        <w:t>ordinal</w:t>
      </w:r>
      <w:r>
        <w:t xml:space="preserve"> (expiry 1, 2, 3…), not</w:t>
        <w:br/>
        <w:t xml:space="preserve">  proportional to time. Blending between columns is cosmetic.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them to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Four frames re-rank themselves</w:t>
      </w:r>
      <w:r>
        <w:rPr/>
        <w:t xml:space="preserve"> by the day's move — Top 10, Sector SPDR, Thematic,</w:t>
        <w:br/>
        <w:t xml:space="preserve">and Countries — so leaders and laggards are always at the ends. </w:t>
      </w:r>
      <w:r>
        <w:rPr>
          <w:b/>
        </w:rPr>
        <w:t>Every other frame</w:t>
        <w:br/>
        <w:t>keeps its curated order on purpose</w:t>
      </w:r>
      <w:r>
        <w:rPr/>
        <w:t>: SPY/DIA/QQQ/IWM in that sequence, VIX before its</w:t>
        <w:br/>
        <w:t>tenors.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>A performance table for the eleven S&amp;P 500 sectors, each expandable into the industries</w:t>
        <w:br/>
        <w:t>inside it. It is the "where is it working" screen.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summary line</w:t>
      </w:r>
      <w:r>
        <w:rPr/>
        <w:t xml:space="preserve"> gives three numbers at once: what percentage of sectors are green,</w:t>
        <w:br/>
        <w:t>the cap-weighted move (what the index actually did), and a 0–10 score. Below it a</w:t>
        <w:br/>
        <w:t xml:space="preserve">sentence names the </w:t>
      </w:r>
      <w:r>
        <w:rPr>
          <w:b/>
        </w:rPr>
        <w:t>cyclical versus defensive</w:t>
      </w:r>
      <w:r>
        <w:rPr/>
        <w:t xml:space="preserve"> spread and the day's leaders and</w:t>
        <w:br/>
        <w:t>laggards.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>Name and its tradeable proxy.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Day % / Week % / Month %</w:t>
            </w:r>
          </w:p>
        </w:tc>
        <w:tc>
          <w:tcPr>
            <w:tcW w:type="dxa" w:w="4320"/>
          </w:tcPr>
          <w:p>
            <w:r/>
            <w:r>
              <w:rPr/>
              <w:t>Return over each window, green up, red down.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Put/call volume for that sector's options. Call-heavy is green.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RRG</w:t>
            </w:r>
          </w:p>
        </w:tc>
        <w:tc>
          <w:tcPr>
            <w:tcW w:type="dxa" w:w="4320"/>
          </w:tcPr>
          <w:p>
            <w:r/>
            <w:r>
              <w:rPr/>
              <w:t xml:space="preserve">The sector's rotation quadrant — Leading, Weakening, Lagging, Improving. See </w:t>
            </w:r>
            <w:r>
              <w:rPr>
                <w:color w:val="2E6DB4"/>
              </w:rPr>
              <w:t>RRG</w:t>
            </w:r>
            <w:r>
              <w:rPr/>
              <w:t>.</w:t>
            </w:r>
          </w:p>
        </w:tc>
      </w:tr>
    </w:tbl>
    <w:p/>
    <w:p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 sector.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headline</w:t>
      </w:r>
      <w:r>
        <w:rPr/>
        <w:t xml:space="preserve"> states the verdict and shows the arithmetic behind it: the average</w:t>
        <w:br/>
        <w:t>rotation momentum of cyclical sectors versus defensive ones, the spread between them,</w:t>
        <w:br/>
        <w:t>and the threshold (±1.5) that had to be cleared. Showing the threshold is what makes</w:t>
        <w:br/>
        <w:t>this honest — a spread of −1.5 against a ±1.5 threshold is a verdict that only just</w:t>
        <w:br/>
        <w:t>qualified.</w:t>
      </w:r>
    </w:p>
    <w:p>
      <w:r>
        <w:rPr>
          <w:b/>
        </w:rPr>
        <w:t>The quadrant map</w:t>
      </w:r>
      <w:r>
        <w:rPr/>
        <w:t xml:space="preserve"> ranks every sector by rotation momentum, with two numbers:</w:t>
      </w:r>
    </w:p>
    <w:p>
      <w:pPr>
        <w:pStyle w:val="ListBullet"/>
      </w:pPr>
      <w:r>
        <w:rPr>
          <w:b/>
        </w:rPr>
        <w:t>RS-Ratio</w:t>
      </w:r>
      <w:r>
        <w:t xml:space="preserve"> — relative </w:t>
      </w:r>
      <w:r>
        <w:rPr>
          <w:i/>
        </w:rPr>
        <w:t>strength</w:t>
      </w:r>
      <w:r>
        <w:t xml:space="preserve"> against SPY. Above 100 means outperforming.</w:t>
      </w:r>
    </w:p>
    <w:p>
      <w:pPr>
        <w:pStyle w:val="ListBullet"/>
      </w:pPr>
      <w:r>
        <w:rPr>
          <w:b/>
        </w:rPr>
        <w:t>RS-Mom</w:t>
      </w:r>
      <w:r>
        <w:t xml:space="preserve"> — relative </w:t>
      </w:r>
      <w:r>
        <w:rPr>
          <w:i/>
        </w:rPr>
        <w:t>momentum</w:t>
      </w:r>
      <w:r>
        <w:t>, the rate of change of that strength. Above 100</w:t>
        <w:br/>
        <w:t xml:space="preserve">  means the outperformance is still improving.</w:t>
      </w:r>
    </w:p>
    <w:p>
      <w:r>
        <w:rPr/>
        <w:t xml:space="preserve">Together they produce a quadrant: </w:t>
      </w:r>
      <w:r>
        <w:rPr>
          <w:b/>
        </w:rPr>
        <w:t>Leading</w:t>
      </w:r>
      <w:r>
        <w:rPr/>
        <w:t xml:space="preserve"> (strong and improving), </w:t>
      </w:r>
      <w:r>
        <w:rPr>
          <w:b/>
        </w:rPr>
        <w:t>Weakening</w:t>
      </w:r>
      <w:r>
        <w:rPr/>
        <w:br/>
        <w:t xml:space="preserve">(strong but fading), </w:t>
      </w:r>
      <w:r>
        <w:rPr>
          <w:b/>
        </w:rPr>
        <w:t>Lagging</w:t>
      </w:r>
      <w:r>
        <w:rPr/>
        <w:t xml:space="preserve"> (weak and still falling), </w:t>
      </w:r>
      <w:r>
        <w:rPr>
          <w:b/>
        </w:rPr>
        <w:t>Improving</w:t>
      </w:r>
      <w:r>
        <w:rPr/>
        <w:t xml:space="preserve"> (weak but</w:t>
        <w:br/>
        <w:t>turning up).</w:t>
      </w:r>
    </w:p>
    <w:p>
      <w:r>
        <w:rPr>
          <w:b/>
        </w:rPr>
        <w:t>Rotating From / Into</w:t>
      </w:r>
      <w:r>
        <w:rPr/>
        <w:t xml:space="preserve"> groups the sectors and — usefully — shows each one's </w:t>
      </w:r>
      <w:r>
        <w:rPr>
          <w:b/>
        </w:rPr>
        <w:t>S&amp;P</w:t>
        <w:br/>
        <w:t>weight</w:t>
      </w:r>
      <w:r>
        <w:rPr/>
        <w:t>. "Money rotating out of Technology" means much more when Technology is 32.5%</w:t>
        <w:br/>
        <w:t>of the index than when a 2% sector moves.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threshold, and look at the quadrant table</w:t>
        <w:br/>
        <w:t>rather than trusting the headline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>
          <w:b/>
        </w:rPr>
        <w:t>Each sector draws a trail.</w:t>
      </w:r>
      <w:r>
        <w:rPr/>
        <w:t xml:space="preserve"> The bright dot is now; the faded line is where it has</w:t>
        <w:br/>
        <w:t xml:space="preserve">been. </w:t>
      </w:r>
      <w:r>
        <w:rPr>
          <w:b/>
        </w:rPr>
        <w:t>Hover a sector to dim the others.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Read the banner first.</w:t>
      </w:r>
      <w:r>
        <w:rPr/>
        <w:t xml:space="preserve"> It is the most important element and it governs everything</w:t>
        <w:br/>
        <w:t>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The banner also names the </w:t>
      </w:r>
      <w:r>
        <w:rPr>
          <w:b/>
        </w:rPr>
        <w:t>dispersion percentile</w:t>
      </w:r>
      <w:r>
        <w:rPr/>
        <w:t>. Low dispersion means everything is</w:t>
        <w:br/>
        <w:t>moving together, so a relative-strength screen has little to separate.</w:t>
      </w:r>
    </w:p>
    <w:p>
      <w:r>
        <w:rPr>
          <w:b/>
        </w:rPr>
        <w:t>The scatter.</w:t>
      </w:r>
      <w:r>
        <w:rPr/>
        <w:t xml:space="preserve"> Momentum score on the horizontal axis, acceleration on the vertical.</w:t>
        <w:br/>
        <w:t xml:space="preserve">Same four quadrant names as </w:t>
      </w:r>
      <w:r>
        <w:rPr>
          <w:color w:val="2E6DB4"/>
        </w:rPr>
        <w:t>RRG</w:t>
      </w:r>
      <w:r>
        <w:rPr/>
        <w:t xml:space="preserve"> — Leading, Improving, Weakening, Lagging — but</w:t>
        <w:br/>
      </w:r>
      <w:r>
        <w:rPr>
          <w:b/>
        </w:rPr>
        <w:t>the axes are different</w:t>
      </w:r>
      <w:r>
        <w:rPr/>
        <w:t>: RRG measures strength purely against the S&amp;P, whereas this</w:t>
        <w:br/>
        <w:t>score blends five components of which relative strength is only one. The two screens can</w:t>
        <w:br/>
        <w:t>legitimately disagree about the same sector.</w:t>
      </w:r>
    </w:p>
    <w:p>
      <w:r>
        <w:rPr>
          <w:b/>
        </w:rPr>
        <w:t>The rank ribbon</w:t>
      </w:r>
      <w:r>
        <w:rPr/>
        <w:t xml:space="preserve"> shows rank over recent sessions. A name that has climbed steadily</w:t>
        <w:br/>
        <w:t>for two weeks is a better candidate than one that jumped yesterday.</w:t>
      </w:r>
    </w:p>
    <w:p>
      <w:r>
        <w:rPr>
          <w:b/>
        </w:rPr>
        <w:t>The leaderboards</w:t>
      </w:r>
      <w:r>
        <w:rPr/>
        <w:t xml:space="preserve"> (top 15 and bottom 15) expose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the </w:t>
      </w:r>
      <w:r>
        <w:rPr>
          <w:b/>
        </w:rPr>
        <w:t>Align</w:t>
      </w:r>
      <w:r>
        <w:rPr/>
        <w:t xml:space="preserve"> column. A three-block row is a</w:t>
        <w:br/>
        <w:t>name where the whole hierarchy agrees, and those are the candidates worth taking to</w:t>
        <w:br/>
      </w:r>
      <w:r>
        <w:rPr>
          <w:color w:val="2E6DB4"/>
        </w:rPr>
        <w:t>Trade Analyzer</w:t>
      </w:r>
      <w:r>
        <w:rPr/>
        <w:t xml:space="preserve"> or </w:t>
      </w:r>
      <w:r>
        <w:rPr>
          <w:color w:val="2E6DB4"/>
        </w:rPr>
        <w:t>Strategy Finder</w:t>
      </w:r>
      <w:r>
        <w:rPr/>
        <w:t>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workflow is: symbol → strategy → legs → Calculate.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 debit),</w:t>
        <w:br/>
        <w:t xml:space="preserve">   iron condors, butterflies (long and iron), calendars and diagonals. Picking one fills</w:t>
        <w:br/>
        <w:t xml:space="preserve">   the leg editor.</w:t>
      </w:r>
    </w:p>
    <w:p>
      <w:pPr>
        <w:pStyle w:val="ListNumber"/>
      </w:pPr>
      <w:r>
        <w:rPr>
          <w:b/>
        </w:rPr>
        <w:t>Legs</w:t>
      </w:r>
      <w:r>
        <w:t xml:space="preserve"> — the editable table below. Each leg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 and </w:t>
      </w:r>
      <w:r>
        <w:rPr>
          <w:b/>
        </w:rPr>
        <w:t>premium</w:t>
      </w:r>
      <w:r>
        <w:t>. Add or</w:t>
        <w:br/>
        <w:t xml:space="preserve">   remove legs freely. Per-leg expiry is what makes </w:t>
      </w:r>
      <w:r>
        <w:rPr>
          <w:b/>
        </w:rPr>
        <w:t>calendars price correctly</w:t>
      </w:r>
      <w:r>
        <w:t xml:space="preserve"> —</w:t>
        <w:br/>
        <w:t xml:space="preserve">   each leg is valued at its own time to expiration.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summary tiles and the heat map.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risk-free rate. Barely matters at short expiries.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Number of 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heat map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summary tiles</w:t>
      </w:r>
      <w:r>
        <w:rPr/>
        <w:t xml:space="preserve"> give max risk, max return, breakeven and probability of profit.</w:t>
      </w:r>
    </w:p>
    <w:p>
      <w:r>
        <w:rPr>
          <w:b/>
        </w:rPr>
        <w:t>The heat map</w:t>
      </w:r>
      <w:r>
        <w:rPr/>
        <w:t xml:space="preserve"> is the centrepiece: rows are underlying prices (real chain strikes</w:t>
        <w:br/>
        <w:t>around spot), columns are dates. Green is profit, red is loss.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heat map's second value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tiles show both;</w:t>
        <w:br/>
        <w:t xml:space="preserve">  check the ratio, not just the credit.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the controls</w:t>
        <w:br/>
        <w:t>and the strategy sit side by side in one panel.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</w:t>
      </w:r>
      <w:r>
        <w:rPr>
          <w:i/>
        </w:rPr>
        <w:t xml:space="preserve"> (the app's home page)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unlocks it.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