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2026-07-02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Stop All Services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Gamma / Charm / Delta / Vanna / Flow / Net Prem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time, colored from red</w:t>
        <w:br/>
        <w:t xml:space="preserve">  (negative) through yellow to green (positive), with the spot price overlaid.</w:t>
      </w:r>
    </w:p>
    <w:p>
      <w:r>
        <w:rPr>
          <w:b/>
        </w:rPr>
        <w:t>Explain</w:t>
      </w:r>
      <w:r>
        <w:rPr/>
        <w:t xml:space="preserve"> opens an infographic that interprets the current positioning;</w:t>
        <w:br/>
      </w:r>
      <w:r>
        <w:rPr>
          <w:b/>
        </w:rPr>
        <w:t>Analyze</w:t>
      </w:r>
      <w:r>
        <w:rPr/>
        <w:t xml:space="preserve"> produces a copyable analysis prompt for the index symbols. The view</w:t>
        <w:br/>
        <w:t>refreshes automatically every two minutes; switching views is instant and doesn't</w:t>
        <w:br/>
        <w:t>re-fetch.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Trend &amp; Sentiment</w:t>
      </w:r>
    </w:p>
    <w:p>
      <w:r>
        <w:rPr/>
        <w:t>Six tabs, running from the widest lens to the narrowest.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The group's first tab, so clicking </w:t>
      </w:r>
      <w:r>
        <w:rPr>
          <w:b/>
        </w:rPr>
        <w:t>Trend &amp; Sentiment</w:t>
      </w:r>
      <w:r>
        <w:rPr/>
        <w:t xml:space="preserve"> in</w:t>
        <w:br/>
        <w:t>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performance table for the eleven S&amp;P sectors, each expandable into its</w:t>
        <w:br/>
        <w:t>industries.</w:t>
      </w:r>
    </w:p>
    <w:p>
      <w:pPr>
        <w:pStyle w:val="ListBullet"/>
      </w:pPr>
      <w:r>
        <w:rPr>
          <w:b/>
        </w:rPr>
        <w:t>Day / Week / Month %</w:t>
      </w:r>
      <w:r>
        <w:t xml:space="preserve">, a </w:t>
      </w:r>
      <w:r>
        <w:rPr>
          <w:b/>
        </w:rPr>
        <w:t>P/C</w:t>
      </w:r>
      <w:r>
        <w:t xml:space="preserve"> (put/call) reading, and an </w:t>
      </w:r>
      <w:r>
        <w:rPr>
          <w:b/>
        </w:rPr>
        <w:t>RRG</w:t>
      </w:r>
      <w:r>
        <w:t xml:space="preserve"> quadrant</w:t>
        <w:br/>
        <w:t xml:space="preserve">  per sector.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 All</w:t>
      </w:r>
      <w:r>
        <w:t>, to see industries.</w:t>
      </w:r>
    </w:p>
    <w:p>
      <w:pPr>
        <w:pStyle w:val="ListBullet"/>
      </w:pPr>
      <w:r>
        <w:t>A summary line above the table gives the percentage of sectors green, the</w:t>
        <w:br/>
        <w:t xml:space="preserve">  cap-weighted move, a 0–10 score, and the </w:t>
      </w:r>
      <w:r>
        <w:rPr>
          <w:b/>
        </w:rPr>
        <w:t>cyclical-versus-defensive</w:t>
      </w:r>
      <w:r>
        <w:t xml:space="preserve"> spread with</w:t>
        <w:br/>
        <w:t xml:space="preserve">  the day's leaders and laggards.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</w:t>
        <w:br/>
        <w:t xml:space="preserve">  cyclical-versus-defensive spread shown against the ±1.5 threshold it had to clear.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momentum, with </w:t>
      </w:r>
      <w:r>
        <w:rPr>
          <w:b/>
        </w:rPr>
        <w:t>RS-Ratio</w:t>
      </w:r>
      <w:r>
        <w:t xml:space="preserve"> (relative strength)</w:t>
        <w:br/>
        <w:t xml:space="preserve">  and </w:t>
      </w:r>
      <w:r>
        <w:rPr>
          <w:b/>
        </w:rPr>
        <w:t>RS-Mom</w:t>
      </w:r>
      <w:r>
        <w:t xml:space="preserve"> (its rate of change) for each sector.</w:t>
      </w:r>
    </w:p>
    <w:p>
      <w:pPr>
        <w:pStyle w:val="ListBullet"/>
      </w:pPr>
      <w:r>
        <w:rPr>
          <w:b/>
        </w:rPr>
        <w:t>Rotating From / Into</w:t>
      </w:r>
      <w:r>
        <w:t xml:space="preserve"> columns, with each sector's </w:t>
      </w:r>
      <w:r>
        <w:rPr>
          <w:b/>
        </w:rPr>
        <w:t>S&amp;P weight</w:t>
      </w:r>
      <w:r>
        <w:t xml:space="preserve"> — which is what</w:t>
        <w:br/>
        <w:t xml:space="preserve">  tells you whether a rotation is material.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a full-width scatter with</w:t>
        <w:br/>
        <w:t>one "meteor-tail" trail per sector — a faded history line plus a bright current dot.</w:t>
        <w:br/>
        <w:t>Hovering a sector dims the others.</w:t>
      </w:r>
    </w:p>
    <w:p>
      <w:r>
        <w:rPr/>
        <w:t xml:space="preserve">Top-right is </w:t>
      </w:r>
      <w:r>
        <w:rPr>
          <w:b/>
        </w:rPr>
        <w:t>Leading</w:t>
      </w:r>
      <w:r>
        <w:rPr/>
        <w:t xml:space="preserve">, bottom-right </w:t>
      </w:r>
      <w:r>
        <w:rPr>
          <w:b/>
        </w:rPr>
        <w:t>Weakening</w:t>
      </w:r>
      <w:r>
        <w:rPr/>
        <w:t xml:space="preserve">, bottom-left </w:t>
      </w:r>
      <w:r>
        <w:rPr>
          <w:b/>
        </w:rPr>
        <w:t>Lagging</w:t>
      </w:r>
      <w:r>
        <w:rPr/>
        <w:t>,</w:t>
        <w:br/>
        <w:t xml:space="preserve">top-left </w:t>
      </w:r>
      <w:r>
        <w:rPr>
          <w:b/>
        </w:rPr>
        <w:t>Improving</w:t>
      </w:r>
      <w:r>
        <w:rPr/>
        <w:t>; sectors tend to rotate clockwise. Refresh-only, like Sector</w:t>
        <w:br/>
        <w:t>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pPr>
        <w:pStyle w:val="ListBullet"/>
      </w:pPr>
      <w:r>
        <w:rPr>
          <w:b/>
        </w:rPr>
        <w:t>Read the banner first.</w:t>
      </w:r>
      <w:r>
        <w:rPr>
          <w:i/>
        </w:rPr>
        <w:t>Favorable</w:t>
      </w:r>
      <w:r>
        <w:t xml:space="preserve"> means trending conditions. </w:t>
      </w:r>
      <w:r>
        <w:rPr>
          <w:i/>
        </w:rPr>
        <w:t>Neutral</w:t>
      </w:r>
      <w:r>
        <w:t xml:space="preserve"> means</w:t>
        <w:br/>
        <w:t xml:space="preserve">  chop. </w:t>
      </w:r>
      <w:r>
        <w:rPr>
          <w:b/>
        </w:rPr>
        <w:t>Suppressed</w:t>
      </w:r>
      <w:r>
        <w:t xml:space="preserve"> means momentum-crash risk, and the leaderboard dims — that is</w:t>
        <w:br/>
        <w:t xml:space="preserve">  the app telling you not to chase.</w:t>
      </w:r>
    </w:p>
    <w:p>
      <w:pPr>
        <w:pStyle w:val="ListBullet"/>
      </w:pPr>
      <w:r>
        <w:t xml:space="preserve">A </w:t>
      </w:r>
      <w:r>
        <w:rPr>
          <w:b/>
        </w:rPr>
        <w:t>quadrant scatter</w:t>
      </w:r>
      <w:r>
        <w:t xml:space="preserve"> (score against acceleration), a </w:t>
      </w:r>
      <w:r>
        <w:rPr>
          <w:b/>
        </w:rPr>
        <w:t>rank ribbon</w:t>
      </w:r>
      <w:r>
        <w:t xml:space="preserve"> over recent</w:t>
        <w:br/>
        <w:t xml:space="preserve">  sessions, and </w:t>
      </w:r>
      <w:r>
        <w:rPr>
          <w:b/>
        </w:rPr>
        <w:t>top/bottom-15 leaderboards</w:t>
      </w:r>
      <w:r>
        <w:t xml:space="preserve"> exposing every component.</w:t>
      </w:r>
    </w:p>
    <w:p>
      <w:pPr>
        <w:pStyle w:val="ListBullet"/>
      </w:pPr>
      <w:r>
        <w:rPr>
          <w:b/>
        </w:rPr>
        <w:t>Align</w:t>
      </w:r>
      <w:r>
        <w:t xml:space="preserve"> shows three blocks — sector, industry, stock — filled when each is in its</w:t>
        <w:br/>
        <w:t xml:space="preserve">  top quartile. Three filled blocks is the highest-conviction row on the page.</w:t>
      </w:r>
    </w:p>
    <w:p>
      <w:pPr>
        <w:pStyle w:val="ListBullet"/>
      </w:pPr>
      <w:r>
        <w:t xml:space="preserve">The footer counts </w:t>
      </w:r>
      <w:r>
        <w:rPr>
          <w:b/>
        </w:rPr>
        <w:t>excluded</w:t>
      </w:r>
      <w:r>
        <w:t xml:space="preserve"> symbols, so a delisted or renamed ticker becomes</w:t>
        <w:br/>
        <w:t xml:space="preserve">  visible instead of silently vanishing.</w:t>
      </w:r>
    </w:p>
    <w:p>
      <w:r>
        <w:rPr/>
        <w:t>Use the dropdown to switch between industries and stocks.</w:t>
      </w:r>
    </w:p>
    <w:p>
      <w:r>
        <w:br/>
      </w:r>
    </w:p>
    <w:p>
      <w:pPr>
        <w:pStyle w:val="Heading1"/>
      </w:pPr>
      <w:r>
        <w:rPr/>
        <w:t>Trade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Trade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t>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Three equal-width cards in one row</w:t>
      </w:r>
      <w:r>
        <w:t xml:space="preserve"> — </w:t>
      </w:r>
      <w:r>
        <w:rPr>
          <w:b/>
        </w:rPr>
        <w:t>Position</w:t>
      </w:r>
      <w:r>
        <w:t xml:space="preserve"> (1–8 weeks), </w:t>
      </w:r>
      <w:r>
        <w:rPr>
          <w:b/>
        </w:rPr>
        <w:t>Investor</w:t>
      </w:r>
      <w:r>
        <w:br/>
        <w:t xml:space="preserve">  (months+), and </w:t>
      </w:r>
      <w:r>
        <w:rPr>
          <w:b/>
        </w:rPr>
        <w:t>Markov Forecast</w:t>
      </w:r>
      <w:r>
        <w:t>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t xml:space="preserve"> shows a Buy / Hold / Sell verdict (color-coded), a score,</w:t>
        <w:br/>
        <w:t xml:space="preserve">    the top reasons, any hard "gates" that fired, and an expandable factor breakdown.</w:t>
      </w:r>
    </w:p>
    <w:p>
      <w:pPr>
        <w:pStyle w:val="ListBullet"/>
      </w:pPr>
      <w:r>
        <w:rPr>
          <w:b/>
        </w:rPr>
        <w:t>Markov Forecast</w:t>
      </w:r>
      <w:r>
        <w:t xml:space="preserve"> projects where the </w:t>
      </w:r>
      <w:r>
        <w:rPr>
          <w:b/>
        </w:rPr>
        <w:t>legacy technical-momentum</w:t>
      </w:r>
      <w:r>
        <w:t xml:space="preserve"> Position score</w:t>
        <w:br/>
        <w:t xml:space="preserve">    is likely to head (it tracks that older score, </w:t>
      </w:r>
      <w:r>
        <w:rPr>
          <w:i/>
        </w:rPr>
        <w:t>not</w:t>
      </w:r>
      <w:r>
        <w:t xml:space="preserve"> the new validated factor model —</w:t>
        <w:br/>
        <w:t xml:space="preserve">    they are two separate lenses on the same stock). It shows</w:t>
        <w:br/>
        <w:t xml:space="preserve">    the current </w:t>
      </w:r>
      <w:r>
        <w:rPr>
          <w:b/>
        </w:rPr>
        <w:t>regime band</w:t>
      </w:r>
      <w:r>
        <w:t xml:space="preserve"> (Strong-Bear … Strong-Bull), a stacked-area chart of the</w:t>
        <w:br/>
        <w:t xml:space="preserve">    </w:t>
      </w:r>
      <w:r>
        <w:rPr>
          <w:b/>
        </w:rPr>
        <w:t>probability of being in each band</w:t>
      </w:r>
      <w:r>
        <w:t xml:space="preserve"> at +5 / +10 / +20 trading days, the per-horizon</w:t>
        <w:br/>
        <w:t xml:space="preserve">    </w:t>
      </w:r>
      <w:r>
        <w:rPr>
          <w:b/>
        </w:rPr>
        <w:t>P(BUY) / P(SELL) / expected score</w:t>
      </w:r>
      <w:r>
        <w:t xml:space="preserve"> and band </w:t>
      </w:r>
      <w:r>
        <w:rPr>
          <w:b/>
        </w:rPr>
        <w:t>persistence</w:t>
      </w:r>
      <w:r>
        <w:t xml:space="preserve">, and a </w:t>
      </w:r>
      <w:r>
        <w:rPr>
          <w:b/>
        </w:rPr>
        <w:t>drift / tilt</w:t>
      </w:r>
      <w:r>
        <w:br/>
        <w:t xml:space="preserve">    line. The tilt is a small, bounded adjustment (±12 points) applied to the </w:t>
      </w:r>
      <w:r>
        <w:rPr>
          <w:b/>
        </w:rPr>
        <w:t>legacy</w:t>
      </w:r>
      <w:r>
        <w:br/>
        <w:t xml:space="preserve">    heuristic score — shown as </w:t>
      </w:r>
      <w:r>
        <w:rPr>
          <w:rFonts w:ascii="Consolas" w:hAnsi="Consolas"/>
          <w:color w:val="334455"/>
          <w:sz w:val="19"/>
        </w:rPr>
        <w:t>base … · Markov …</w:t>
      </w:r>
      <w:r>
        <w:t xml:space="preserve"> inside the Position card's "Legacy</w:t>
        <w:br/>
        <w:t xml:space="preserve">    heuristic" section — so that score reflects the forecast while the </w:t>
      </w:r>
      <w:r>
        <w:rPr>
          <w:b/>
        </w:rPr>
        <w:t>Buy / Hold /</w:t>
        <w:br/>
        <w:t xml:space="preserve">    Sell word never changes</w:t>
      </w:r>
      <w:r>
        <w:t xml:space="preserve"> (the tilt is advisory).</w:t>
        <w:br/>
        <w:t xml:space="preserve">    The card appears only when there is enough price history; otherwise the row falls back</w:t>
        <w:br/>
        <w:t xml:space="preserve">    to the two verdict cards.</w:t>
      </w:r>
    </w:p>
    <w:p>
      <w:pPr>
        <w:pStyle w:val="ListBullet"/>
      </w:pPr>
      <w:r>
        <w:t xml:space="preserve">An </w:t>
      </w:r>
      <w:r>
        <w:rPr>
          <w:b/>
        </w:rPr>
        <w:t>MTF EMA Alignment</w:t>
      </w:r>
      <w:r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the Driver.</w:t>
      </w:r>
    </w:p>
    <w:p>
      <w:pPr>
        <w:pStyle w:val="ListBullet"/>
      </w:pPr>
      <w:r>
        <w:t xml:space="preserve">A </w:t>
      </w:r>
      <w:r>
        <w:rPr>
          <w:b/>
        </w:rPr>
        <w:t>Summary</w:t>
      </w:r>
      <w:r>
        <w:t xml:space="preserve"> with per-domain one-liners (scanner counts, captured signals, paper</w:t>
        <w:br/>
        <w:t xml:space="preserve">  session P&amp;L, Driver grade/status).</w:t>
      </w:r>
    </w:p>
    <w:p>
      <w:pPr>
        <w:pStyle w:val="ListBullet"/>
      </w:pPr>
      <w:r>
        <w:rPr>
          <w:b/>
        </w:rPr>
        <w:t>Sections</w:t>
      </w:r>
      <w:r>
        <w:t xml:space="preserve"> for Scanner, Captured, Paper, and Driver with their tables.</w:t>
      </w:r>
    </w:p>
    <w:p>
      <w:pPr>
        <w:pStyle w:val="ListBullet"/>
      </w:pPr>
      <w:r>
        <w:t xml:space="preserve">A </w:t>
      </w:r>
      <w:r>
        <w:rPr>
          <w:b/>
        </w:rPr>
        <w:t>Generate</w:t>
      </w:r>
      <w:r>
        <w:t xml:space="preserve"> button snapshots the current data into standalone HTML files</w:t>
        <w:br/>
        <w:t xml:space="preserve"> 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Past dates are listed for</w:t>
        <w:br/>
        <w:t xml:space="preserve">  reopening, and archived files can be served raw.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</w:t>
      </w:r>
      <w:r>
        <w:rPr>
          <w:b/>
        </w:rPr>
        <w:t>Schwab Authorization</w:t>
      </w:r>
      <w:r>
        <w:t>, the</w:t>
        <w:br/>
        <w:t xml:space="preserve">  six services, and the web app itself, each with Online/Offline and its tier.</w:t>
      </w:r>
    </w:p>
    <w:p>
      <w:pPr>
        <w:pStyle w:val="ListBullet"/>
      </w:pPr>
      <w:r>
        <w:t xml:space="preserve">A </w:t>
      </w:r>
      <w:r>
        <w:rPr>
          <w:b/>
        </w:rPr>
        <w:t>Schwab Authorization</w:t>
      </w:r>
      <w:r>
        <w:t xml:space="preserve"> card with an </w:t>
      </w:r>
      <w:r>
        <w:rPr>
          <w:b/>
        </w:rPr>
        <w:t>Authorize</w:t>
      </w:r>
      <w:r>
        <w:t xml:space="preserve"> button that opens the</w:t>
        <w:br/>
        <w:t xml:space="preserve">  gateway's OAuth login in a new tab (use this if your Schwab token has expired).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update age, flagging</w:t>
        <w:br/>
        <w:t xml:space="preserve">  scheduled data that has gone stale.</w:t>
      </w:r>
    </w:p>
    <w:p>
      <w:pPr>
        <w:pStyle w:val="ListBullet"/>
      </w:pPr>
      <w:r>
        <w:rPr>
          <w:b/>
        </w:rPr>
        <w:t>Offline</w:t>
      </w:r>
      <w:r>
        <w:t xml:space="preserve"> components show a </w:t>
      </w:r>
      <w:r>
        <w:rPr>
          <w:b/>
        </w:rPr>
        <w:t>Restart</w:t>
      </w:r>
      <w:r>
        <w:t xml:space="preserve"> button. The board re-checks every few</w:t>
        <w:br/>
        <w:t xml:space="preserve">  seconds and on demand.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7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