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row of seven checkboxes, all ticked by default: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 The delta bounds also place the two other sold</w:t>
        <w:br/>
        <w:t xml:space="preserve">options that are out of the money by design — the </w:t>
      </w:r>
      <w:r>
        <w:rPr>
          <w:b/>
        </w:rPr>
        <w:t>short strangle</w:t>
      </w:r>
      <w:r>
        <w:rPr/>
        <w:t xml:space="preserve"> and the call in a</w:t>
        <w:br/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 band's midpoint, and drop one that lands above</w:t>
        <w:br/>
        <w:t>the band's ceiling.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near expiration at least 7 days out.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>. On the paper account the same name means the option leg</w:t>
        <w:br/>
        <w:t>alone, which is one reason these rows get no Paper button.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column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/>
        <w:t xml:space="preserve">⚠ </w:t>
      </w:r>
      <w:r>
        <w:rPr>
          <w:b/>
        </w:rPr>
        <w:t>Two structures are in that count on nearly every scan: the short straddle and the</w:t>
        <w:br/>
        <w:t>covered call.</w:t>
      </w:r>
      <w:r>
        <w:rPr/>
        <w:t xml:space="preserve"> Both are judged as premium sales, whose bar asks for a 65% probability of</w:t>
        <w:br/>
        <w:t>profit, and both measure around 57% and 52%. That is an operator decision — no lower bar</w:t>
        <w:br/>
        <w:t>is invented without outcome data — so they are counted, not shown.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ledger refuses them by name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