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, </w:t>
      </w:r>
      <w:r>
        <w:rPr>
          <w:i/>
        </w:rPr>
        <w:t>▼ −3.5</w:t>
      </w:r>
      <w:r>
        <w:rPr/>
        <w:t xml:space="preserve">, </w:t>
      </w:r>
      <w:r>
        <w:rPr>
          <w:i/>
        </w:rPr>
        <w:t>steady</w:t>
      </w:r>
      <w:r>
        <w:rPr/>
        <w:t xml:space="preserve">, or </w:t>
      </w:r>
      <w:r>
        <w:rPr>
          <w:i/>
        </w:rPr>
        <w:t>new</w:t>
      </w:r>
      <w:r>
        <w:rPr/>
        <w:t xml:space="preserve"> while there are too few readings to name</w:t>
        <w:br/>
        <w:t>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The dealer walls disappear once the collector stops rather than going to</w:t>
        <w:br/>
        <w:t xml:space="preserve">  zero</w:t>
      </w:r>
      <w:r>
        <w:t>, by the same rule as on the Desk: the band says the walls are withheld,</w:t>
        <w:br/>
        <w:t xml:space="preserve">  because the last walls drawn are not a current read, and an all-zero overnight</w:t>
        <w:br/>
        <w:t xml:space="preserve">  grid produces arbitrary ones.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