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row of seven checkboxes, all ticked by default: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 The delta bounds also place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Calendar</w:t>
      </w:r>
      <w:r>
        <w:t xml:space="preserve"> — the near expiration at least </w:t>
      </w:r>
      <w:r>
        <w:rPr>
          <w:b/>
        </w:rPr>
        <w:t>7 days</w:t>
      </w:r>
      <w:r>
        <w:t xml:space="preserve"> out, the later one nearest</w:t>
        <w:br/>
        <w:t xml:space="preserve">  </w:t>
      </w:r>
      <w:r>
        <w:rPr>
          <w:b/>
        </w:rPr>
        <w:t>near + 28 days</w:t>
      </w:r>
      <w:r>
        <w:t xml:space="preserve"> and at least a week after it, both inside your DTE range; same</w:t>
        <w:br/>
        <w:t xml:space="preserve"> 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near expiration at least 7 days out.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Vol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column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calendar or diagonal is checked against its </w:t>
      </w:r>
      <w:r>
        <w:rPr>
          <w:b/>
        </w:rPr>
        <w:t>latest</w:t>
      </w:r>
      <w:r>
        <w:rPr/>
        <w:t xml:space="preserve"> expiration: the</w:t>
        <w:br/>
        <w:t>back month is still open through a report that lands after the front expires.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