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2026-10-04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8210–8213, 8215 and 8216), one per subject area: sentiment, options, portfolio, trade, market, news.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your captured signals,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Headlines.</w:t>
      </w:r>
      <w:r>
        <w:rPr/>
        <w:t xml:space="preserve"> Full width, under the four panels: the five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panels above are). </w:t>
      </w:r>
      <w:r>
        <w:rPr>
          <w:b/>
        </w:rPr>
        <w:t>All headlines →</w:t>
      </w:r>
      <w:r>
        <w:rPr/>
        <w:t xml:space="preserve"> opens Market News,</w:t>
        <w:br/>
        <w:t>where the filters and Trending live. On the public live Desk the strip shows only</w:t>
        <w:br/>
        <w:t>the feeds marked public.</w:t>
      </w:r>
    </w:p>
    <w:p>
      <w:r>
        <w:rPr>
          <w:b/>
        </w:rPr>
        <w:t>Market Summary.</w:t>
      </w:r>
      <w:r>
        <w:rPr/>
        <w:t xml:space="preserve"> Full width, across the bottom. The highlights of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 xml:space="preserve">close). Up to </w:t>
      </w:r>
      <w:r>
        <w:rPr>
          <w:b/>
        </w:rPr>
        <w:t>five bullet points</w:t>
      </w:r>
      <w:r>
        <w:rPr/>
        <w:t>, which are the report's own section</w:t>
        <w:br/>
        <w:t>headlines in the order the report gives them, under a provenance line naming</w:t>
        <w:br/>
        <w:t xml:space="preserve">which report they came from — for example </w:t>
      </w:r>
      <w:r>
        <w:rPr>
          <w:b/>
        </w:rPr>
        <w:t>"Market close report · 14 Sep ·</w:t>
        <w:br/>
        <w:t>16:20 CT"</w:t>
      </w:r>
      <w:r>
        <w:rPr/>
        <w:t xml:space="preserve"> — and a </w:t>
      </w:r>
      <w:r>
        <w:rPr>
          <w:b/>
        </w:rPr>
        <w:t>Read the full report</w:t>
      </w:r>
      <w:r>
        <w:rPr/>
        <w:t xml:space="preserve"> link that opens the whole report on</w:t>
        <w:br/>
        <w:t>the website in a new tab. No Claude call is made to fill this frame: the</w:t>
        <w:br/>
        <w:t>highlights are quoted from the report, not rewritten.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replaced, and reads it</w:t>
        <w:br/>
        <w:t>again only when it has. So the bullets sit unchanged between reports, and the</w:t>
        <w:br/>
        <w:t>provenance line tells you how old they are. A report that cannot be read leaves</w:t>
        <w:br/>
        <w:t>the previous highlights up.</w:t>
      </w:r>
    </w:p>
    <w:p>
      <w:r>
        <w:rPr/>
        <w:t xml:space="preserve">Underneath the highlights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report above them is</w:t>
        <w:br/>
        <w:t>hours old. Hovering a chip opens the same hover its counterpart uses elsewhere on</w:t>
        <w:br/>
        <w:t>the 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Before any report has been published, the frame reads </w:t>
      </w:r>
      <w:r>
        <w:rPr>
          <w:b/>
        </w:rPr>
        <w:t>"No market report</w:t>
        <w:br/>
        <w:t>published yet."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put, or for the</w:t>
        <w:br/>
        <w:t xml:space="preserve">hedging types the modelled dealer direction)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 with</w:t>
        <w:br/>
        <w:t xml:space="preserve">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Summary frame,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type and menu, with a live preview that</w:t>
        <w:br/>
        <w:t xml:space="preserve">shows an unsaved colour before anything else does.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