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WebGUI Trading with Schwab</w:t>
      </w:r>
    </w:p>
    <w:p>
      <w:r>
        <w:rPr>
          <w:b/>
          <w:color w:val="2E6DB4"/>
          <w:sz w:val="30"/>
        </w:rPr>
        <w:t>Technical Reference</w:t>
      </w:r>
    </w:p>
    <w:p>
      <w:r>
        <w:rPr>
          <w:i/>
          <w:color w:val="5B6678"/>
          <w:sz w:val="18"/>
        </w:rPr>
        <w:t>WebGUI Trading with Schwab · Generated 2026-08-22</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Dealer Positioning</w:t>
            </w:r>
          </w:p>
        </w:tc>
        <w:tc>
          <w:tcPr>
            <w:tcW w:type="dxa" w:w="4320"/>
            <w:shd w:val="clear" w:color="auto" w:fill="F4F6FA"/>
          </w:tcPr>
          <w:p>
            <w:r/>
            <w:r>
              <w:rPr>
                <w:i/>
              </w:rPr>
              <w:t>GEX / Gamma</w:t>
            </w:r>
            <w:r>
              <w:rPr/>
              <w:t xml:space="preserve"> · </w:t>
            </w:r>
            <w:r>
              <w:rPr>
                <w:i/>
              </w:rPr>
              <w:t>Black-Scholes &amp; the Simulator</w:t>
            </w:r>
            <w:r>
              <w:rPr/>
              <w:t xml:space="preserve"> (the Greeks behind charm and vanna)</w:t>
            </w:r>
          </w:p>
        </w:tc>
      </w:tr>
      <w:tr>
        <w:tc>
          <w:tcPr>
            <w:tcW w:type="dxa" w:w="4320"/>
          </w:tcPr>
          <w:p>
            <w:r/>
            <w:r>
              <w:rPr>
                <w:b/>
              </w:rPr>
              <w:t>Opportunity Board</w:t>
            </w:r>
          </w:p>
        </w:tc>
        <w:tc>
          <w:tcPr>
            <w:tcW w:type="dxa" w:w="4320"/>
          </w:tcPr>
          <w:p>
            <w:r/>
            <w:r>
              <w:rPr>
                <w:i/>
              </w:rPr>
              <w:t>GEX / Gamma</w:t>
            </w:r>
            <w:r>
              <w:rPr/>
              <w:t xml:space="preserve"> (the flip and flow series) · </w:t>
            </w:r>
            <w:r>
              <w:rPr>
                <w:i/>
              </w:rPr>
              <w:t>Options Scoring</w:t>
            </w:r>
            <w:r>
              <w:rPr/>
              <w:t xml:space="preserve"> (its signal counts)</w:t>
            </w:r>
          </w:p>
        </w:tc>
      </w:tr>
      <w:tr>
        <w:tc>
          <w:tcPr>
            <w:tcW w:type="dxa" w:w="4320"/>
            <w:shd w:val="clear" w:color="auto" w:fill="F4F6FA"/>
          </w:tcPr>
          <w:p>
            <w:r/>
            <w:r>
              <w:rPr>
                <w:b/>
              </w:rPr>
              <w:t>Flow Alerts</w:t>
            </w:r>
          </w:p>
        </w:tc>
        <w:tc>
          <w:tcPr>
            <w:tcW w:type="dxa" w:w="4320"/>
            <w:shd w:val="clear" w:color="auto" w:fill="F4F6FA"/>
          </w:tcPr>
          <w:p>
            <w:r/>
            <w:r>
              <w:rPr>
                <w:i/>
              </w:rPr>
              <w:t>GEX / Gamma</w:t>
            </w:r>
            <w:r>
              <w:rPr/>
              <w:t xml:space="preserve"> (the premium series) · </w:t>
            </w:r>
            <w:r>
              <w:rPr>
                <w:i/>
              </w:rPr>
              <w:t>Constants Appendix</w:t>
            </w:r>
            <w:r>
              <w:rPr/>
              <w:t xml:space="preserve"> (detector thresholds)</w:t>
            </w:r>
          </w:p>
        </w:tc>
      </w:tr>
      <w:tr>
        <w:tc>
          <w:tcPr>
            <w:tcW w:type="dxa" w:w="4320"/>
          </w:tcPr>
          <w:p>
            <w:r/>
            <w:r>
              <w:rPr>
                <w:b/>
              </w:rPr>
              <w:t>Market Dashboard</w:t>
            </w:r>
          </w:p>
        </w:tc>
        <w:tc>
          <w:tcPr>
            <w:tcW w:type="dxa" w:w="4320"/>
          </w:tcPr>
          <w:p>
            <w:r/>
            <w:r>
              <w:rPr>
                <w:i/>
              </w:rPr>
              <w:t>Architecture Overview</w:t>
            </w:r>
            <w:r>
              <w:rPr/>
              <w:t xml:space="preserve"> — the board normalizes and colours quotes rather than deriving anything</w:t>
            </w:r>
          </w:p>
        </w:tc>
      </w:tr>
      <w:tr>
        <w:tc>
          <w:tcPr>
            <w:tcW w:type="dxa" w:w="4320"/>
            <w:shd w:val="clear" w:color="auto" w:fill="F4F6FA"/>
          </w:tcPr>
          <w:p>
            <w:r/>
            <w:r>
              <w:rPr>
                <w:b/>
              </w:rPr>
              <w:t>Sentiment</w:t>
            </w:r>
          </w:p>
        </w:tc>
        <w:tc>
          <w:tcPr>
            <w:tcW w:type="dxa" w:w="4320"/>
            <w:shd w:val="clear" w:color="auto" w:fill="F4F6FA"/>
          </w:tcPr>
          <w:p>
            <w:r/>
            <w:r>
              <w:rPr>
                <w:i/>
              </w:rPr>
              <w:t>Sentiment Calculations</w:t>
            </w:r>
            <w:r>
              <w:rPr/>
              <w:t>, including the composite blend, the intraday trend, and the blended market regime</w:t>
            </w:r>
          </w:p>
        </w:tc>
      </w:tr>
      <w:tr>
        <w:tc>
          <w:tcPr>
            <w:tcW w:type="dxa" w:w="4320"/>
          </w:tcPr>
          <w:p>
            <w:r/>
            <w:r>
              <w:rPr>
                <w:b/>
              </w:rPr>
              <w:t>Sector &amp; Industry</w:t>
            </w:r>
          </w:p>
        </w:tc>
        <w:tc>
          <w:tcPr>
            <w:tcW w:type="dxa" w:w="4320"/>
          </w:tcPr>
          <w:p>
            <w:r/>
            <w:r>
              <w:rPr>
                <w:i/>
              </w:rPr>
              <w:t>Sentiment Calculations</w:t>
            </w:r>
            <w:r>
              <w:rPr/>
              <w:t xml:space="preserve"> → </w:t>
            </w:r>
            <w:r>
              <w:rPr>
                <w:b/>
              </w:rPr>
              <w:t>Sector Performance</w:t>
            </w:r>
          </w:p>
        </w:tc>
      </w:tr>
      <w:tr>
        <w:tc>
          <w:tcPr>
            <w:tcW w:type="dxa" w:w="4320"/>
            <w:shd w:val="clear" w:color="auto" w:fill="F4F6FA"/>
          </w:tcPr>
          <w:p>
            <w:r/>
            <w:r>
              <w:rPr>
                <w:b/>
              </w:rPr>
              <w:t>Sector Rotation</w:t>
            </w:r>
            <w:r>
              <w:rPr/>
              <w:t xml:space="preserve"> · </w:t>
            </w:r>
            <w:r>
              <w:rPr>
                <w:b/>
              </w:rPr>
              <w:t>RRG</w:t>
            </w:r>
          </w:p>
        </w:tc>
        <w:tc>
          <w:tcPr>
            <w:tcW w:type="dxa" w:w="4320"/>
            <w:shd w:val="clear" w:color="auto" w:fill="F4F6FA"/>
          </w:tcPr>
          <w:p>
            <w:r/>
            <w:r>
              <w:rPr>
                <w:i/>
              </w:rPr>
              <w:t>Sentiment Calculations</w:t>
            </w:r>
            <w:r>
              <w:rPr/>
              <w:t xml:space="preserve"> → </w:t>
            </w:r>
            <w:r>
              <w:rPr>
                <w:b/>
              </w:rPr>
              <w:t>Rotation</w:t>
            </w:r>
          </w:p>
        </w:tc>
      </w:tr>
      <w:tr>
        <w:tc>
          <w:tcPr>
            <w:tcW w:type="dxa" w:w="4320"/>
          </w:tcPr>
          <w:p>
            <w:r/>
            <w:r>
              <w:rPr>
                <w:b/>
              </w:rPr>
              <w:t>Momentum</w:t>
            </w:r>
          </w:p>
        </w:tc>
        <w:tc>
          <w:tcPr>
            <w:tcW w:type="dxa" w:w="4320"/>
          </w:tcPr>
          <w:p>
            <w:r/>
            <w:r>
              <w:rPr>
                <w:i/>
              </w:rPr>
              <w:t>Sentiment Calculations</w:t>
            </w:r>
            <w:r>
              <w:rPr/>
              <w:t xml:space="preserve"> (the nightly cascade; see also the cadence table)</w:t>
            </w:r>
          </w:p>
        </w:tc>
      </w:tr>
      <w:tr>
        <w:tc>
          <w:tcPr>
            <w:tcW w:type="dxa" w:w="4320"/>
            <w:shd w:val="clear" w:color="auto" w:fill="F4F6FA"/>
          </w:tcPr>
          <w:p>
            <w:r/>
            <w:r>
              <w:rPr>
                <w:b/>
              </w:rPr>
              <w:t>Calculator</w:t>
            </w:r>
            <w:r>
              <w:rPr/>
              <w:t xml:space="preserve"> · </w:t>
            </w:r>
            <w:r>
              <w:rPr>
                <w:b/>
              </w:rPr>
              <w:t>Simulator</w:t>
            </w:r>
          </w:p>
        </w:tc>
        <w:tc>
          <w:tcPr>
            <w:tcW w:type="dxa" w:w="4320"/>
            <w:shd w:val="clear" w:color="auto" w:fill="F4F6FA"/>
          </w:tcPr>
          <w:p>
            <w:r/>
            <w:r>
              <w:rPr>
                <w:i/>
              </w:rPr>
              <w:t>Black-Scholes &amp; the Simulator</w:t>
            </w:r>
          </w:p>
        </w:tc>
      </w:tr>
      <w:tr>
        <w:tc>
          <w:tcPr>
            <w:tcW w:type="dxa" w:w="4320"/>
          </w:tcPr>
          <w:p>
            <w:r/>
            <w:r>
              <w:rPr>
                <w:b/>
              </w:rPr>
              <w:t>Market Scanner</w:t>
            </w:r>
          </w:p>
        </w:tc>
        <w:tc>
          <w:tcPr>
            <w:tcW w:type="dxa" w:w="4320"/>
          </w:tcPr>
          <w:p>
            <w:r/>
            <w:r>
              <w:rPr>
                <w:i/>
              </w:rPr>
              <w:t>Options Scoring</w:t>
            </w:r>
            <w:r>
              <w:rPr/>
              <w:t xml:space="preserve"> · </w:t>
            </w:r>
            <w:r>
              <w:rPr>
                <w:i/>
              </w:rPr>
              <w:t>Technical Indicators</w:t>
            </w:r>
          </w:p>
        </w:tc>
      </w:tr>
      <w:tr>
        <w:tc>
          <w:tcPr>
            <w:tcW w:type="dxa" w:w="4320"/>
            <w:shd w:val="clear" w:color="auto" w:fill="F4F6FA"/>
          </w:tcPr>
          <w:p>
            <w:r/>
            <w:r>
              <w:rPr>
                <w:b/>
              </w:rPr>
              <w:t>Strategy Finder</w:t>
            </w:r>
          </w:p>
        </w:tc>
        <w:tc>
          <w:tcPr>
            <w:tcW w:type="dxa" w:w="4320"/>
            <w:shd w:val="clear" w:color="auto" w:fill="F4F6FA"/>
          </w:tcPr>
          <w:p>
            <w:r/>
            <w:r>
              <w:rPr>
                <w:i/>
              </w:rPr>
              <w:t>Options Scoring</w:t>
            </w:r>
            <w:r>
              <w:rPr/>
              <w:t xml:space="preserve"> (the Fit + Quality score)</w:t>
            </w:r>
          </w:p>
        </w:tc>
      </w:tr>
      <w:tr>
        <w:tc>
          <w:tcPr>
            <w:tcW w:type="dxa" w:w="4320"/>
          </w:tcPr>
          <w:p>
            <w:r/>
            <w:r>
              <w:rPr>
                <w:b/>
              </w:rPr>
              <w:t>Expected Move</w:t>
            </w:r>
          </w:p>
        </w:tc>
        <w:tc>
          <w:tcPr>
            <w:tcW w:type="dxa" w:w="4320"/>
          </w:tcPr>
          <w:p>
            <w:r/>
            <w:r>
              <w:rPr>
                <w:i/>
              </w:rPr>
              <w:t>Options Scoring</w:t>
            </w:r>
            <w:r>
              <w:rPr/>
              <w:t xml:space="preserve"> → </w:t>
            </w:r>
            <w:r>
              <w:rPr>
                <w:b/>
              </w:rPr>
              <w:t>Expected move and IV analysis</w:t>
            </w:r>
          </w:p>
        </w:tc>
      </w:tr>
      <w:tr>
        <w:tc>
          <w:tcPr>
            <w:tcW w:type="dxa" w:w="4320"/>
            <w:shd w:val="clear" w:color="auto" w:fill="F4F6FA"/>
          </w:tcPr>
          <w:p>
            <w:r/>
            <w:r>
              <w:rPr>
                <w:b/>
              </w:rPr>
              <w:t>Captured Signals</w:t>
            </w:r>
            <w:r>
              <w:rPr/>
              <w:t xml:space="preserve"> · </w:t>
            </w:r>
            <w:r>
              <w:rPr>
                <w:b/>
              </w:rPr>
              <w:t>Paper Ledger</w:t>
            </w:r>
            <w:r>
              <w:rPr/>
              <w:t xml:space="preserve"> · </w:t>
            </w:r>
            <w:r>
              <w:rPr>
                <w:b/>
              </w:rPr>
              <w:t>Paper Account</w:t>
            </w:r>
          </w:p>
        </w:tc>
        <w:tc>
          <w:tcPr>
            <w:tcW w:type="dxa" w:w="4320"/>
            <w:shd w:val="clear" w:color="auto" w:fill="F4F6FA"/>
          </w:tcPr>
          <w:p>
            <w:r/>
            <w:r>
              <w:rPr>
                <w:i/>
              </w:rPr>
              <w:t>Options Scoring</w:t>
            </w:r>
            <w:r>
              <w:rPr/>
              <w:t xml:space="preserve"> (entry quality) · </w:t>
            </w:r>
            <w:r>
              <w:rPr>
                <w:i/>
              </w:rPr>
              <w:t>Rescue Tested Trades</w:t>
            </w:r>
            <w:r>
              <w:rPr/>
              <w:t xml:space="preserve"> (the management rules)</w:t>
            </w:r>
          </w:p>
        </w:tc>
      </w:tr>
      <w:tr>
        <w:tc>
          <w:tcPr>
            <w:tcW w:type="dxa" w:w="4320"/>
          </w:tcPr>
          <w:p>
            <w:r/>
            <w:r>
              <w:rPr>
                <w:b/>
              </w:rPr>
              <w:t>Rescue</w:t>
            </w:r>
          </w:p>
        </w:tc>
        <w:tc>
          <w:tcPr>
            <w:tcW w:type="dxa" w:w="4320"/>
          </w:tcPr>
          <w:p>
            <w:r/>
            <w:r>
              <w:rPr>
                <w:i/>
              </w:rPr>
              <w:t>Rescue Tested Trades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Claude Trades</w:t>
            </w:r>
          </w:p>
        </w:tc>
        <w:tc>
          <w:tcPr>
            <w:tcW w:type="dxa" w:w="4320"/>
          </w:tcPr>
          <w:p>
            <w:r/>
            <w:r>
              <w:rPr/>
              <w:t xml:space="preserve">Its risk clamping is pure code, not a formula — see the </w:t>
            </w:r>
            <w:r>
              <w:rPr>
                <w:i/>
              </w:rPr>
              <w:t>API / Developer Reference</w:t>
            </w:r>
            <w:r>
              <w:rPr/>
              <w:t xml:space="preserve">, </w:t>
            </w:r>
            <w:r>
              <w:rPr>
                <w:b/>
              </w:rPr>
              <w:t>Driver service</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Windows 10 / 11.</w:t>
            </w:r>
            <w:r>
              <w:rPr/>
              <w:t xml:space="preserve"> The stack is Windows-first: the launchers are </w:t>
            </w:r>
            <w:r>
              <w:rPr>
                <w:rFonts w:ascii="Consolas" w:hAnsi="Consolas"/>
                <w:color w:val="334455"/>
                <w:sz w:val="19"/>
              </w:rPr>
              <w:t>.bat</w:t>
            </w:r>
            <w:r>
              <w:rPr/>
              <w:t xml:space="preserve">, desktop toasts use </w:t>
            </w:r>
            <w:r>
              <w:rPr>
                <w:rFonts w:ascii="Consolas" w:hAnsi="Consolas"/>
                <w:color w:val="334455"/>
                <w:sz w:val="19"/>
              </w:rPr>
              <w:t>winotify</w:t>
            </w:r>
            <w:r>
              <w:rPr/>
              <w:t>, and the Redis backbone is Memurai (a Windows Redis).</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\.venv\Scripts\python.exe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b/>
              </w:rPr>
              <w:t>Windows Terminal</w:t>
            </w:r>
          </w:p>
        </w:tc>
        <w:tc>
          <w:tcPr>
            <w:tcW w:type="dxa" w:w="2880"/>
          </w:tcPr>
          <w:p>
            <w:r/>
            <w:r>
              <w:rPr/>
              <w:t xml:space="preserve">Only for </w:t>
            </w:r>
            <w:r>
              <w:rPr>
                <w:rFonts w:ascii="Consolas" w:hAnsi="Consolas"/>
                <w:color w:val="334455"/>
                <w:sz w:val="19"/>
              </w:rPr>
              <w:t>start_all_wt.bat</w:t>
            </w:r>
            <w:r>
              <w:rPr/>
              <w:t xml:space="preserve"> (the one-window, tabbed launcher).</w:t>
            </w:r>
          </w:p>
        </w:tc>
        <w:tc>
          <w:tcPr>
            <w:tcW w:type="dxa" w:w="2880"/>
          </w:tcPr>
          <w:p>
            <w:r/>
            <w:r>
              <w:rPr/>
              <w:t>Optional</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.\.venv\Scripts\python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Memurai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winotify</w:t>
            </w:r>
            <w:r>
              <w:rPr/>
              <w:t xml:space="preserve">, </w:t>
            </w:r>
            <w:r>
              <w:rPr>
                <w:rFonts w:ascii="Consolas" w:hAnsi="Consolas"/>
                <w:color w:val="334455"/>
                <w:sz w:val="19"/>
              </w:rPr>
              <w:t>yfinance</w:t>
            </w:r>
          </w:p>
        </w:tc>
        <w:tc>
          <w:tcPr>
            <w:tcW w:type="dxa" w:w="4320"/>
          </w:tcPr>
          <w:p>
            <w:r/>
            <w:r>
              <w:rPr/>
              <w:t>Charts/imaging, Windows toasts, optional fallback data.</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Memurai (the Redis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Memurai running on </w:t>
            </w:r>
            <w:r>
              <w:rPr>
                <w:rFonts w:ascii="Consolas" w:hAnsi="Consolas"/>
                <w:color w:val="334455"/>
                <w:sz w:val="19"/>
              </w:rPr>
              <w:t>:6379</w:t>
            </w:r>
          </w:p>
        </w:tc>
        <w:tc>
          <w:tcPr>
            <w:tcW w:type="dxa" w:w="2880"/>
          </w:tcPr>
          <w:p>
            <w:r/>
            <w:r>
              <w:rPr/>
              <w:t xml:space="preserve">Installs as a </w:t>
            </w:r>
            <w:r>
              <w:rPr>
                <w:b/>
              </w:rPr>
              <w:t>native Windows service</w:t>
            </w:r>
            <w:r>
              <w:rPr/>
              <w:t xml:space="preserve"> (start it from </w:t>
            </w:r>
            <w:r>
              <w:rPr>
                <w:rFonts w:ascii="Consolas" w:hAnsi="Consolas"/>
                <w:color w:val="334455"/>
                <w:sz w:val="19"/>
              </w:rPr>
              <w:t>services.msc</w:t>
            </w:r>
            <w:r>
              <w:rPr/>
              <w:t xml:space="preserve">). It is the Tier-3 cache, pub/sub, and command bus — </w:t>
            </w:r>
            <w:r>
              <w:rPr>
                <w:b/>
              </w:rPr>
              <w:t>without it none of the six services can publish and every page shows a "Waiting for … service" placeholder.</w:t>
            </w:r>
            <w:r>
              <w:rPr/>
              <w:t xml:space="preserve"> The launchers check it but do </w:t>
            </w:r>
            <w:r>
              <w:rPr>
                <w:b/>
              </w:rPr>
              <w:t>not</w:t>
            </w:r>
            <w:r>
              <w:rPr/>
              <w:t xml:space="preserve"> install or start it for you, and </w:t>
            </w:r>
            <w:r>
              <w:rPr>
                <w:rFonts w:ascii="Consolas" w:hAnsi="Consolas"/>
                <w:color w:val="334455"/>
                <w:sz w:val="19"/>
              </w:rPr>
              <w:t>stop_all.bat</w:t>
            </w:r>
            <w:r>
              <w:rPr/>
              <w:t xml:space="preserve"> deliberately leaves it running.</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open </w:t>
            </w:r>
            <w:r>
              <w:rPr>
                <w:rFonts w:ascii="Consolas" w:hAnsi="Consolas"/>
                <w:color w:val="334455"/>
                <w:sz w:val="19"/>
              </w:rPr>
              <w:t>http://127.0.0.1:8100/auth</w:t>
            </w:r>
            <w:r>
              <w:rPr/>
              <w:t xml:space="preserve"> (or the </w:t>
            </w:r>
            <w:r>
              <w:rPr>
                <w:b/>
              </w:rPr>
              <w:t>Authorize</w:t>
            </w:r>
            <w:r>
              <w:rPr/>
              <w:t xml:space="preserve"> button on the app's </w:t>
            </w:r>
            <w:r>
              <w:rPr>
                <w:b/>
              </w:rPr>
              <w:t>System Status</w:t>
            </w:r>
            <w:r>
              <w:rPr/>
              <w:t xml:space="preserve"> page) and complete the Schwab login.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 the 4×/day auto-briefings, and the market summary ticker.</w:t>
            </w:r>
          </w:p>
        </w:tc>
        <w:tc>
          <w:tcPr>
            <w:tcW w:type="dxa" w:w="2880"/>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Memurai (Redis)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bl>
    <w:p/>
    <w:p>
      <w:r>
        <w:rPr>
          <w:rFonts w:ascii="Consolas" w:hAnsi="Consolas"/>
          <w:color w:val="334455"/>
          <w:sz w:val="19"/>
        </w:rPr>
        <w:t>config/ports.toml</w:t>
      </w:r>
      <w:r>
        <w:rPr/>
        <w:t xml:space="preserve"> also lists </w:t>
      </w:r>
      <w:r>
        <w:rPr>
          <w:rFonts w:ascii="Consolas" w:hAnsi="Consolas"/>
          <w:color w:val="334455"/>
          <w:sz w:val="19"/>
        </w:rPr>
        <w:t>options_analytics = 8200</w:t>
      </w:r>
      <w:r>
        <w:rPr/>
        <w:t xml:space="preserve">, </w:t>
      </w:r>
      <w:r>
        <w:rPr>
          <w:rFonts w:ascii="Consolas" w:hAnsi="Consolas"/>
          <w:color w:val="334455"/>
          <w:sz w:val="19"/>
        </w:rPr>
        <w:t>approval = 8300</w:t>
      </w:r>
      <w:r>
        <w:rPr/>
        <w:t>,</w:t>
        <w:br/>
      </w:r>
      <w:r>
        <w:rPr>
          <w:rFonts w:ascii="Consolas" w:hAnsi="Consolas"/>
          <w:color w:val="334455"/>
          <w:sz w:val="19"/>
        </w:rPr>
        <w:t>dashboard_frontend = 5173</w:t>
      </w:r>
      <w:r>
        <w:rPr/>
        <w:t xml:space="preserve">, and an </w:t>
      </w:r>
      <w:r>
        <w:rPr>
          <w:rFonts w:ascii="Consolas" w:hAnsi="Consolas"/>
          <w:color w:val="334455"/>
          <w:sz w:val="19"/>
        </w:rPr>
        <w:t>[ml_servers]</w:t>
      </w:r>
      <w:r>
        <w:rPr/>
        <w:t xml:space="preserve"> block (MES 8000 / MNQ 8001 /</w:t>
        <w:br/>
        <w:t xml:space="preserve">ES 8004 / NQ 8005). </w:t>
      </w:r>
      <w:r>
        <w:rPr>
          <w:b/>
        </w:rPr>
        <w:t>None of these are started by this repo</w:t>
      </w:r>
      <w:r>
        <w:rPr/>
        <w:t xml:space="preserve"> — 5173 and 8300</w:t>
        <w:br/>
        <w:t>are legacy/retired, and the ML servers plus the 8200 analytics service are</w:t>
        <w:br/>
      </w:r>
      <w:r>
        <w:rPr>
          <w:b/>
        </w:rPr>
        <w:t>separate external processes</w:t>
      </w:r>
      <w:r>
        <w:rPr/>
        <w:t xml:space="preserve"> that </w:t>
      </w:r>
      <w:r>
        <w:rPr>
          <w:rFonts w:ascii="Consolas" w:hAnsi="Consolas"/>
          <w:color w:val="334455"/>
          <w:sz w:val="19"/>
        </w:rPr>
        <w:t>claude-driver</w:t>
      </w:r>
      <w:r>
        <w:rPr/>
        <w:t xml:space="preserve"> addresses over HTTP. If they</w:t>
        <w:br/>
        <w:t>aren't running, those paths simply degrade.</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Memurai → schwab-proxy → the six services → webgui.</w:t>
      </w:r>
      <w:r>
        <w:rPr/>
        <w:br/>
        <w:t>Services wait on the proxy because every one of them resolves market data through 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start_all.bat</w:t>
            </w:r>
          </w:p>
        </w:tc>
        <w:tc>
          <w:tcPr>
            <w:tcW w:type="dxa" w:w="4320"/>
          </w:tcPr>
          <w:p>
            <w:r/>
            <w:r>
              <w:rPr/>
              <w:t xml:space="preserve">Proxy + 6 services + webgui in </w:t>
            </w:r>
            <w:r>
              <w:rPr>
                <w:b/>
              </w:rPr>
              <w:t>8 separate console windows</w:t>
            </w:r>
            <w:r>
              <w:rPr/>
              <w:t>, then opens the browser.</w:t>
            </w:r>
          </w:p>
        </w:tc>
      </w:tr>
      <w:tr>
        <w:tc>
          <w:tcPr>
            <w:tcW w:type="dxa" w:w="4320"/>
            <w:shd w:val="clear" w:color="auto" w:fill="F4F6FA"/>
          </w:tcPr>
          <w:p>
            <w:r/>
            <w:r>
              <w:rPr>
                <w:rFonts w:ascii="Consolas" w:hAnsi="Consolas"/>
                <w:color w:val="334455"/>
                <w:sz w:val="19"/>
              </w:rPr>
              <w:t>start_all_wt.bat</w:t>
            </w:r>
          </w:p>
        </w:tc>
        <w:tc>
          <w:tcPr>
            <w:tcW w:type="dxa" w:w="4320"/>
            <w:shd w:val="clear" w:color="auto" w:fill="F4F6FA"/>
          </w:tcPr>
          <w:p>
            <w:r/>
            <w:r>
              <w:rPr/>
              <w:t xml:space="preserve">The same 8 processes as </w:t>
            </w:r>
            <w:r>
              <w:rPr>
                <w:b/>
              </w:rPr>
              <w:t>tabs in one Windows Terminal window</w:t>
            </w:r>
            <w:r>
              <w:rPr/>
              <w:t>.</w:t>
            </w:r>
          </w:p>
        </w:tc>
      </w:tr>
      <w:tr>
        <w:tc>
          <w:tcPr>
            <w:tcW w:type="dxa" w:w="4320"/>
          </w:tcPr>
          <w:p>
            <w:r/>
            <w:r>
              <w:rPr>
                <w:rFonts w:ascii="Consolas" w:hAnsi="Consolas"/>
                <w:color w:val="334455"/>
                <w:sz w:val="19"/>
              </w:rPr>
              <w:t>start_all_wt.bat nowindow</w:t>
            </w:r>
            <w:r>
              <w:rPr/>
              <w:t xml:space="preserve"> / </w:t>
            </w:r>
            <w:r>
              <w:rPr>
                <w:rFonts w:ascii="Consolas" w:hAnsi="Consolas"/>
                <w:color w:val="334455"/>
                <w:sz w:val="19"/>
              </w:rPr>
              <w:t>start_all_hidden.bat</w:t>
            </w:r>
          </w:p>
        </w:tc>
        <w:tc>
          <w:tcPr>
            <w:tcW w:type="dxa" w:w="4320"/>
          </w:tcPr>
          <w:p>
            <w:r/>
            <w:r>
              <w:rPr/>
              <w:t>Windowless (</w:t>
            </w:r>
            <w:r>
              <w:rPr>
                <w:rFonts w:ascii="Consolas" w:hAnsi="Consolas"/>
                <w:color w:val="334455"/>
                <w:sz w:val="19"/>
              </w:rPr>
              <w:t>pythonw</w:t>
            </w:r>
            <w:r>
              <w:rPr/>
              <w:t xml:space="preserve">), logging to </w:t>
            </w:r>
            <w:r>
              <w:rPr>
                <w:rFonts w:ascii="Consolas" w:hAnsi="Consolas"/>
                <w:color w:val="334455"/>
                <w:sz w:val="19"/>
              </w:rPr>
              <w:t>logs\</w:t>
            </w:r>
            <w:r>
              <w:rPr/>
              <w:t>.</w:t>
            </w:r>
          </w:p>
        </w:tc>
      </w:tr>
      <w:tr>
        <w:tc>
          <w:tcPr>
            <w:tcW w:type="dxa" w:w="4320"/>
            <w:shd w:val="clear" w:color="auto" w:fill="F4F6FA"/>
          </w:tcPr>
          <w:p>
            <w:r/>
            <w:r>
              <w:rPr>
                <w:rFonts w:ascii="Consolas" w:hAnsi="Consolas"/>
                <w:color w:val="334455"/>
                <w:sz w:val="19"/>
              </w:rPr>
              <w:t>stop_all.bat</w:t>
            </w:r>
          </w:p>
        </w:tc>
        <w:tc>
          <w:tcPr>
            <w:tcW w:type="dxa" w:w="4320"/>
            <w:shd w:val="clear" w:color="auto" w:fill="F4F6FA"/>
          </w:tcPr>
          <w:p>
            <w:r/>
            <w:r>
              <w:rPr/>
              <w:t xml:space="preserve">Stops the proxy, services, and webgui by port. </w:t>
            </w:r>
            <w:r>
              <w:rPr>
                <w:b/>
              </w:rPr>
              <w:t>Leaves Memurai running.</w:t>
            </w:r>
          </w:p>
        </w:tc>
      </w:tr>
    </w:tbl>
    <w:p/>
    <w:p>
      <w:pPr>
        <w:pStyle w:val="IntenseQuote"/>
      </w:pPr>
      <w:r>
        <w:rPr/>
        <w:t xml:space="preserve">The eight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Memurai,</w:t>
        <w:br/>
        <w:t xml:space="preserve">   the proxy, Schwab authorization, all six services, and the webgui, plus a</w:t>
        <w:br/>
        <w:t xml:space="preserve">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.venv\Scripts\python -m pytest services\options_svc</w:t>
      </w:r>
      <w:r>
        <w:br/>
      </w:r>
      <w:r>
        <w:rPr>
          <w:rFonts w:ascii="Consolas" w:hAnsi="Consolas"/>
          <w:color w:val="223344"/>
          <w:sz w:val="18"/>
        </w:rPr>
        <w:t>cd webgui ; ..\.venv\Scripts\python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(Memurai)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 cache read / subscribe                │ commands</w:t>
      </w:r>
      <w:r>
        <w:br/>
      </w:r>
      <w:r>
        <w:rPr>
          <w:rFonts w:ascii="Consolas" w:hAnsi="Consolas"/>
          <w:color w:val="223344"/>
          <w:sz w:val="18"/>
        </w:rPr>
        <w:t>TIER 3  STORE+COMM  Memurai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Memurai (Redis)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claude-driver/</w:t>
            </w:r>
          </w:p>
        </w:tc>
        <w:tc>
          <w:tcPr>
            <w:tcW w:type="dxa" w:w="4320"/>
            <w:shd w:val="clear" w:color="auto" w:fill="F4F6FA"/>
          </w:tcPr>
          <w:p>
            <w:r/>
            <w:r>
              <w:rPr/>
              <w:t>Morning orchestration + order approval logic.</w:t>
            </w:r>
          </w:p>
        </w:tc>
      </w:tr>
      <w:tr>
        <w:tc>
          <w:tcPr>
            <w:tcW w:type="dxa" w:w="4320"/>
          </w:tcPr>
          <w:p>
            <w:r/>
            <w:r>
              <w:rPr>
                <w:rFonts w:ascii="Consolas" w:hAnsi="Consolas"/>
                <w:color w:val="334455"/>
                <w:sz w:val="19"/>
              </w:rPr>
              <w:t>shared/</w:t>
            </w:r>
          </w:p>
        </w:tc>
        <w:tc>
          <w:tcPr>
            <w:tcW w:type="dxa" w:w="4320"/>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shd w:val="clear" w:color="auto" w:fill="F4F6FA"/>
          </w:tcPr>
          <w:p>
            <w:r/>
            <w:r>
              <w:rPr>
                <w:rFonts w:ascii="Consolas" w:hAnsi="Consolas"/>
                <w:color w:val="334455"/>
                <w:sz w:val="19"/>
              </w:rPr>
              <w:t>services/</w:t>
            </w:r>
          </w:p>
        </w:tc>
        <w:tc>
          <w:tcPr>
            <w:tcW w:type="dxa" w:w="4320"/>
            <w:shd w:val="clear" w:color="auto" w:fill="F4F6FA"/>
          </w:tcPr>
          <w:p>
            <w:r/>
            <w:r>
              <w:rPr/>
              <w:t>The six Tier-2 domain services.</w:t>
            </w:r>
          </w:p>
        </w:tc>
      </w:tr>
      <w:tr>
        <w:tc>
          <w:tcPr>
            <w:tcW w:type="dxa" w:w="4320"/>
          </w:tcPr>
          <w:p>
            <w:r/>
            <w:r>
              <w:rPr>
                <w:rFonts w:ascii="Consolas" w:hAnsi="Consolas"/>
                <w:color w:val="334455"/>
                <w:sz w:val="19"/>
              </w:rPr>
              <w:t>webgui/</w:t>
            </w:r>
          </w:p>
        </w:tc>
        <w:tc>
          <w:tcPr>
            <w:tcW w:type="dxa" w:w="4320"/>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contrarian</w:t>
      </w:r>
      <w:r>
        <w:t xml:space="preserve"> (10 = max fear /</w:t>
        <w:br/>
        <w:t xml:space="preserve">  opportunity, 1 = max greed / risk).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interpolate(PC_THRESHOLDS,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interpolated linearly between points; higher P/C</w:t>
        <w:br/>
        <w:t>(more fear)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w:t>
      </w:r>
      <w:r>
        <w:rPr>
          <w:rFonts w:ascii="Consolas" w:hAnsi="Consolas"/>
          <w:color w:val="334455"/>
          <w:sz w:val="19"/>
        </w:rPr>
        <w:t>score_fallback</w:t>
      </w:r>
      <w:r>
        <w:t>, and the tk app's day/3d/week blend at</w:t>
        <w:br/>
        <w:t xml:space="preserve">  40/40/20) — base 5 with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IV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IV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IV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vol proxy):</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calculate_macd(df,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rFonts w:ascii="Consolas" w:hAnsi="Consolas"/>
          <w:color w:val="334455"/>
          <w:sz w:val="19"/>
        </w:rPr>
        <w:t>macd_histogram_series(df)</w:t>
      </w:r>
      <w:r>
        <w:rPr/>
        <w:t xml:space="preserve"> returns the full histogram series (so callers can read</w:t>
        <w:br/>
        <w:t>the prior bar for 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Position</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quantile_spread</w:t>
      </w:r>
      <w:r>
        <w:t xml:space="preserve"> — mean forward of the top minus the bottom quintile, per date,</w:t>
        <w:br/>
        <w:t xml:space="preserve">  averaged.</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Position</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P&amp;L/tailwind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2 minutes within 08:30–15:20 CT on</w:t>
        <w:br/>
        <w:t xml:space="preserve">trading days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5-min paper manage cycle</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bl>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 at 09:28 ET then every 30 min inside the </w:t>
            </w:r>
            <w:r>
              <w:rPr>
                <w:b/>
              </w:rPr>
              <w:t>09:45–15:30 ET</w:t>
            </w:r>
            <w:r>
              <w:rPr/>
              <w:t xml:space="preserve"> entry window (</w:t>
            </w:r>
            <w:r>
              <w:rPr>
                <w:rFonts w:ascii="Consolas" w:hAnsi="Consolas"/>
                <w:color w:val="334455"/>
                <w:sz w:val="19"/>
              </w:rPr>
              <w:t>checkpoint_due</w:t>
            </w:r>
            <w:r>
              <w:rPr/>
              <w: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Claude summary every </w:t>
            </w:r>
            <w:r>
              <w:rPr>
                <w:b/>
              </w:rPr>
              <w:t>40 min</w:t>
            </w:r>
            <w:r>
              <w:rPr/>
              <w:t xml:space="preserve"> RTH / </w:t>
            </w:r>
            <w:r>
              <w:rPr>
                <w:b/>
              </w:rPr>
              <w:t>60 min</w:t>
            </w:r>
            <w:r>
              <w:rPr/>
              <w:t xml:space="preserve"> off-hours (</w:t>
            </w:r>
            <w:r>
              <w:rPr>
                <w:rFonts w:ascii="Consolas" w:hAnsi="Consolas"/>
                <w:color w:val="334455"/>
                <w:sz w:val="19"/>
              </w:rPr>
              <w:t>SUMMARY_RTH_SEC</w:t>
            </w:r>
            <w:r>
              <w:rPr/>
              <w:t xml:space="preserve">, </w:t>
            </w:r>
            <w:r>
              <w:rPr>
                <w:rFonts w:ascii="Consolas" w:hAnsi="Consolas"/>
                <w:color w:val="334455"/>
                <w:sz w:val="19"/>
              </w:rPr>
              <w:t>SUMMARY_OFFHOURS_SEC</w:t>
            </w:r>
            <w:r>
              <w:rPr/>
              <w:t>).</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