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2026-08-23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</w:t>
            </w:r>
            <w:r>
              <w:rPr>
                <w:b/>
              </w:rPr>
              <w:t>VIX</w:t>
            </w:r>
            <w:r>
              <w:rPr/>
              <w:t xml:space="preserve"> and its band, the </w:t>
            </w:r>
            <w:r>
              <w:rPr>
                <w:b/>
              </w:rPr>
              <w:t>market regime</w:t>
            </w:r>
            <w:r>
              <w:rPr/>
              <w:t xml:space="preserve"> word, and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VIX but not SPX or QQQ.</w:t>
      </w:r>
      <w:r>
        <w:t xml:space="preserve"> Those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Position (1-8 weeks)</w:t>
      </w:r>
      <w:r>
        <w:t xml:space="preserve"> - the cross-section percentile as a large number over a</w:t>
        <w:br/>
        <w:t xml:space="preserve">  </w:t>
      </w:r>
      <w:r>
        <w:rPr>
          <w:b/>
        </w:rPr>
        <w:t>decile rail</w:t>
      </w:r>
      <w:r>
        <w:t>, with the marker where this name sits between the bottom and top</w:t>
        <w:br/>
        <w:t xml:space="preserve">  decile, and the calibrated expectation beneath. Two cards below it say what each</w:t>
        <w:br/>
        <w:t xml:space="preserve">  side is permitted and why.</w:t>
      </w:r>
    </w:p>
    <w:p>
      <w:pPr>
        <w:pStyle w:val="ListBullet"/>
      </w:pPr>
      <w:r>
        <w:rPr>
          <w:b/>
        </w:rPr>
        <w:t>Investor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