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Reference Guide</w:t>
      </w:r>
    </w:p>
    <w:p>
      <w:r>
        <w:rPr>
          <w:i/>
          <w:color w:val="5B6678"/>
          <w:sz w:val="18"/>
        </w:rPr>
        <w:t>WebGUI Trading with Schwab · Generated 2026-08-19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2E6DB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(Memurai, the Windows build of 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2E6DB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three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and a red </w:t>
      </w:r>
      <w:r>
        <w:rPr>
          <w:b/>
        </w:rPr>
        <w:t>Stop All Services</w:t>
      </w:r>
      <w:r>
        <w:rPr/>
        <w:t xml:space="preserve"> button. They are separated deliberately:</w:t>
        <w:br/>
        <w:t>none of them is a step in a trading workflow.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2E6DB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</w:t>
      </w:r>
      <w:r>
        <w:rPr>
          <w:b/>
        </w:rPr>
        <w:t>VIX</w:t>
      </w:r>
      <w:r>
        <w:rPr/>
        <w:t xml:space="preserve"> and its regime band; the </w:t>
      </w:r>
      <w:r>
        <w:rPr>
          <w:b/>
        </w:rPr>
        <w:t>market regime</w:t>
      </w:r>
      <w:r>
        <w:rPr/>
        <w:t xml:space="preserve"> word</w:t>
        <w:br/>
        <w:t xml:space="preserve">(Rallying, Balanced, Whipsaw, Stressed…); and two dials showing </w:t>
      </w:r>
      <w:r>
        <w:rPr>
          <w:b/>
        </w:rPr>
        <w:t>Day / Week /</w:t>
        <w:br/>
        <w:t>Month</w:t>
      </w:r>
      <w:r>
        <w:rPr/>
        <w:t xml:space="preserve"> for market </w:t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>.</w:t>
      </w:r>
    </w:p>
    <w:p>
      <w:r>
        <w:rPr/>
        <w:t xml:space="preserve">Note it shows VIX but </w:t>
      </w:r>
      <w:r>
        <w:rPr>
          <w:i/>
        </w:rPr>
        <w:t>not</w:t>
      </w:r>
      <w:r>
        <w:rPr/>
        <w:t xml:space="preserve"> SPX or QQQ. That is deliberate. Those prices appear in</w:t>
        <w:br/>
        <w:t>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stays because it is</w:t>
        <w:br/>
        <w:t>excluded from the dealer-row universe by design and cannot appear below.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2E6DB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2E6DB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Flow Alerts</w:t>
      </w:r>
      <w:r>
        <w:rPr/>
        <w:t xml:space="preserve"> (row click jumps here for that symbol) ·</w:t>
        <w:br/>
      </w:r>
      <w:r>
        <w:rPr>
          <w:color w:val="2E6DB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2E6DB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2E6DB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2E6DB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Opportunity Board</w:t>
      </w:r>
      <w:r>
        <w:rPr/>
        <w:br/>
        <w:t xml:space="preserve">(its Flow column counts these) · </w:t>
      </w:r>
      <w:r>
        <w:rPr>
          <w:color w:val="2E6DB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2E6DB4"/>
        </w:rPr>
        <w:t>VIX methodology</w:t>
      </w:r>
      <w:r>
        <w:rPr/>
        <w:br/>
        <w:t xml:space="preserve">and the </w:t>
      </w:r>
      <w:r>
        <w:rPr>
          <w:color w:val="2E6DB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Sentiment</w:t>
      </w:r>
      <w:r>
        <w:rPr/>
        <w:t xml:space="preserve"> (turns much of this into one score)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2E6DB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Dashboard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2E6DB4"/>
        </w:rPr>
        <w:t>RRG</w:t>
      </w:r>
      <w:r>
        <w:rPr/>
        <w:t xml:space="preserve"> and </w:t>
      </w:r>
      <w:r>
        <w:rPr>
          <w:color w:val="2E6DB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2E6DB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2E6DB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2E6DB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(the same data as a map with trails)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2E6DB4"/>
        </w:rPr>
        <w:t>relativerotationgraphs.com</w:t>
      </w:r>
      <w:r>
        <w:rPr/>
        <w:t xml:space="preserve"> and</w:t>
        <w:br/>
      </w:r>
      <w:r>
        <w:rPr>
          <w:color w:val="2E6DB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2E6DB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2E6DB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2E6DB4"/>
        </w:rPr>
        <w:t>Trade Analyzer</w:t>
      </w:r>
      <w:r>
        <w:rPr/>
        <w:t xml:space="preserve"> or</w:t>
        <w:br/>
      </w:r>
      <w:r>
        <w:rPr>
          <w:color w:val="2E6DB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&amp; Industry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workflow is: symbol → strategy → legs → Calculate.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 debit),</w:t>
        <w:br/>
        <w:t xml:space="preserve">   iron condors, butterflies (long and iron), calendars and diagonals. Picking one fills</w:t>
        <w:br/>
        <w:t xml:space="preserve">   the leg editor.</w:t>
      </w:r>
    </w:p>
    <w:p>
      <w:pPr>
        <w:pStyle w:val="ListNumber"/>
      </w:pPr>
      <w:r>
        <w:rPr>
          <w:b/>
        </w:rPr>
        <w:t>Legs</w:t>
      </w:r>
      <w:r>
        <w:t xml:space="preserve"> — the editable table below. Each leg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 and </w:t>
      </w:r>
      <w:r>
        <w:rPr>
          <w:b/>
        </w:rPr>
        <w:t>premium</w:t>
      </w:r>
      <w:r>
        <w:t>. Add or</w:t>
        <w:br/>
        <w:t xml:space="preserve">   remove legs freely. Per-leg expiry is what makes </w:t>
      </w:r>
      <w:r>
        <w:rPr>
          <w:b/>
        </w:rPr>
        <w:t>calendars price correctly</w:t>
      </w:r>
      <w:r>
        <w:t xml:space="preserve"> —</w:t>
        <w:br/>
        <w:t xml:space="preserve">   each leg is valued at its own time to expiration.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summary tiles and the heat map.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Number of 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heat map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summary tiles</w:t>
      </w:r>
      <w:r>
        <w:rPr/>
        <w:t xml:space="preserve"> give max risk, max return, breakeven and probability of profit.</w:t>
      </w:r>
    </w:p>
    <w:p>
      <w:r>
        <w:rPr>
          <w:b/>
        </w:rPr>
        <w:t>The heat map</w:t>
      </w:r>
      <w:r>
        <w:rPr/>
        <w:t xml:space="preserve"> is the centrepiece: rows are underlying prices (real chain strikes</w:t>
        <w:br/>
        <w:t>around spot), columns are dates. Green is profit, red is loss.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heat map's second value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tiles show both;</w:t>
        <w:br/>
        <w:t xml:space="preserve">  check the ratio, not just the credit.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Simulator</w:t>
      </w:r>
      <w:r>
        <w:rPr/>
        <w:t xml:space="preserve"> (behaviour over time and volatility) ·</w:t>
        <w:br/>
      </w:r>
      <w:r>
        <w:rPr>
          <w:color w:val="2E6DB4"/>
        </w:rPr>
        <w:t>Expected Move</w:t>
      </w:r>
      <w:r>
        <w:rPr/>
        <w:t xml:space="preserve"> (is the short strike even reachable) ·</w:t>
        <w:br/>
      </w:r>
      <w:r>
        <w:rPr>
          <w:color w:val="2E6DB4"/>
        </w:rPr>
        <w:t>Market Scanner</w:t>
      </w:r>
      <w:r>
        <w:rPr/>
        <w:t xml:space="preserve"> and </w:t>
      </w:r>
      <w:r>
        <w:rPr>
          <w:color w:val="2E6DB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the controls</w:t>
        <w:br/>
        <w:t>and the strategy sit side by side in one panel.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Expected Move</w:t>
      </w:r>
      <w:r>
        <w:rPr/>
        <w:t xml:space="preserve"> · </w:t>
      </w:r>
      <w:r>
        <w:rPr>
          <w:color w:val="2E6DB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2E6DB4"/>
        </w:rPr>
        <w:t>Calculator</w:t>
      </w:r>
      <w:r>
        <w:rPr/>
        <w:t>, open its</w:t>
        <w:br/>
      </w:r>
      <w:r>
        <w:rPr>
          <w:color w:val="2E6DB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2E6DB4"/>
        </w:rPr>
        <w:t>Calculator</w:t>
      </w:r>
      <w:r>
        <w:rPr/>
        <w:t xml:space="preserve"> or </w:t>
      </w:r>
      <w:r>
        <w:rPr>
          <w:color w:val="2E6DB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2E6DB4"/>
        </w:rPr>
        <w:t>Opportunity Board</w:t>
      </w:r>
      <w:r>
        <w:rPr/>
        <w:t xml:space="preserve"> or </w:t>
      </w:r>
      <w:r>
        <w:rPr>
          <w:color w:val="2E6DB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Market Scanner</w:t>
      </w:r>
      <w:r>
        <w:rPr/>
        <w:t xml:space="preserve"> ·</w:t>
        <w:br/>
      </w:r>
      <w:r>
        <w:rPr>
          <w:color w:val="2E6DB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(which reads these positions) · </w:t>
      </w:r>
      <w:r>
        <w:rPr>
          <w:color w:val="2E6DB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2E6DB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2E6DB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2E6DB4"/>
        </w:rPr>
        <w:t>Paper Ledger</w:t>
      </w:r>
      <w:r>
        <w:rPr/>
        <w:t xml:space="preserve"> and the </w:t>
      </w:r>
      <w:r>
        <w:rPr>
          <w:color w:val="2E6DB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2E6DB4"/>
        </w:rPr>
        <w:t>Claude Trades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Captured Signals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Trade Analyzer</w:t>
      </w:r>
    </w:p>
    <w:p>
      <w:r>
        <w:rPr>
          <w:i/>
        </w:rPr>
        <w:t xml:space="preserve">Menu: STRATEGY → Trade Analyzer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A Buy / Hold / Sell verdict on a single stock, over two horizons, with all the evidence</w:t>
        <w:br/>
        <w:t xml:space="preserve">exposed. This is the app's only genuinely </w:t>
      </w:r>
      <w:r>
        <w:rPr>
          <w:i/>
        </w:rPr>
        <w:t>stock-level</w:t>
      </w:r>
      <w:r>
        <w:rPr/>
        <w:t xml:space="preserve"> (rather than options-level) view.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type a symbol and press </w:t>
            </w:r>
            <w:r>
              <w:rPr>
                <w:b/>
              </w:rPr>
              <w:t>Analyze</w:t>
            </w:r>
            <w:r>
              <w:rPr/>
              <w:t>, or just tab out of the field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Remembers the last analyzed symbol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Two verdict cards, side by side.</w:t>
      </w:r>
    </w:p>
    <w:p>
      <w:r>
        <w:rPr>
          <w:b/>
        </w:rPr>
        <w:t>Position (1–8 weeks)</w:t>
      </w:r>
      <w:r>
        <w:rPr/>
        <w:t xml:space="preserve"> is the more rigorous of the two. It is a </w:t>
      </w:r>
      <w:r>
        <w:rPr>
          <w:b/>
        </w:rPr>
        <w:t>backtested,</w:t>
        <w:br/>
        <w:t>IC-weighted cross-sectional factor model</w:t>
      </w:r>
      <w:r>
        <w:rPr/>
        <w:t xml:space="preserve"> — meaning each factor's weight was set by how</w:t>
        <w:br/>
        <w:t xml:space="preserve">well it actually predicted forward returns historically (its </w:t>
      </w:r>
      <w:r>
        <w:rPr>
          <w:i/>
        </w:rPr>
        <w:t>information coefficient</w:t>
      </w:r>
      <w:r>
        <w:rPr/>
        <w:t>),</w:t>
        <w:br/>
        <w:t xml:space="preserve">not by hand-tuning. The verdict comes from a </w:t>
      </w:r>
      <w:r>
        <w:rPr>
          <w:b/>
        </w:rPr>
        <w:t>calibration band</w:t>
      </w:r>
      <w:r>
        <w:rPr/>
        <w:t>, and the headline</w:t>
        <w:br/>
        <w:t>reports what that band has historically delivered:</w:t>
      </w:r>
    </w:p>
    <w:p>
      <w:pPr>
        <w:pStyle w:val="ListBullet"/>
      </w:pPr>
      <w:r>
        <w:t xml:space="preserve">an </w:t>
      </w:r>
      <w:r>
        <w:rPr>
          <w:b/>
        </w:rPr>
        <w:t>expected return</w:t>
      </w:r>
      <w:r>
        <w:t xml:space="preserve"> over roughly the next four weeks, stated as </w:t>
      </w:r>
      <w:r>
        <w:rPr>
          <w:b/>
        </w:rPr>
        <w:t>excess versus the</w:t>
        <w:br/>
        <w:t xml:space="preserve">  S&amp;P 500</w:t>
      </w:r>
      <w:r>
        <w:t xml:space="preserve"> — how much it beat or trailed the index, not the raw move;</w:t>
      </w:r>
    </w:p>
    <w:p>
      <w:pPr>
        <w:pStyle w:val="ListBullet"/>
      </w:pPr>
      <w:r>
        <w:t xml:space="preserve">a </w:t>
      </w:r>
      <w:r>
        <w:rPr>
          <w:b/>
        </w:rPr>
        <w:t>beat-SPY hit rate</w:t>
      </w:r>
      <w:r>
        <w:t xml:space="preserve"> (e.g. </w:t>
      </w:r>
      <w:r>
        <w:rPr>
          <w:i/>
        </w:rPr>
        <w:t>"+1.3% excess / 20d · 52% beat-SPY"</w:t>
      </w:r>
      <w:r>
        <w:t>).</w:t>
      </w:r>
    </w:p>
    <w:p>
      <w:r>
        <w:rPr>
          <w:b/>
        </w:rPr>
        <w:t>"Why — validated factors"</w:t>
      </w:r>
      <w:r>
        <w:rPr/>
        <w:t xml:space="preserve"> expands to each factor's z-score, weight, contribution and</w:t>
        <w:br/>
        <w:t xml:space="preserve">information coefficient, plus the model's version and its </w:t>
      </w:r>
      <w:r>
        <w:rPr>
          <w:b/>
        </w:rPr>
        <w:t>out-of-sample</w:t>
      </w:r>
      <w:r>
        <w:rPr/>
        <w:t xml:space="preserve"> IC. The</w:t>
        <w:br/>
        <w:t xml:space="preserve">older hand-tuned score is preserved under </w:t>
      </w:r>
      <w:r>
        <w:rPr>
          <w:b/>
        </w:rPr>
        <w:t>"Legacy heuristic"</w:t>
      </w:r>
      <w:r>
        <w:rPr/>
        <w:t xml:space="preserve"> for comparison.</w:t>
      </w:r>
    </w:p>
    <w:p>
      <w:r>
        <w:rPr>
          <w:b/>
        </w:rPr>
        <w:t>Investor (months+)</w:t>
      </w:r>
      <w:r>
        <w:rPr/>
        <w:t xml:space="preserve"> remains a heuristic score with its top reasons listed.</w:t>
      </w:r>
    </w:p>
    <w:p>
      <w:r>
        <w:rPr>
          <w:b/>
        </w:rPr>
        <w:t>Hard gates (⛔)</w:t>
      </w:r>
      <w:r>
        <w:rPr/>
        <w:t xml:space="preserve"> override the score outright — for example </w:t>
      </w:r>
      <w:r>
        <w:rPr>
          <w:i/>
        </w:rPr>
        <w:t>"Below 200EMA: cannot be</w:t>
        <w:br/>
        <w:t>BUY"</w:t>
      </w:r>
      <w:r>
        <w:rPr/>
        <w:t>. A gate is a veto, not a deduction.</w:t>
      </w:r>
    </w:p>
    <w:p>
      <w:r>
        <w:rPr>
          <w:b/>
        </w:rPr>
        <w:t>The evidence panels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MTF EMA alignment</w:t>
            </w:r>
          </w:p>
        </w:tc>
        <w:tc>
          <w:tcPr>
            <w:tcW w:type="dxa" w:w="4320"/>
          </w:tcPr>
          <w:p>
            <w:r/>
            <w:r>
              <w:rPr/>
              <w:t>Whether the trend agrees across 1-minute, 5, 15, 60 and daily. A percentage plus per-timeframe labels. All five aligned is a strong, rare condition.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RSI, ADX, MACD histogram, VWAP, relative volume.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</w:tcPr>
          <w:p>
            <w:r/>
            <w:r>
              <w:rPr/>
              <w:t>Sector strength, as a signed adjustment.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Fundamentals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P/E, PEG, revenue and EPS growth, ROE, margin direction.</w:t>
            </w:r>
          </w:p>
        </w:tc>
      </w:tr>
    </w:tbl>
    <w:p/>
    <w:p>
      <w:r>
        <w:rPr>
          <w:b/>
        </w:rPr>
        <w:t>Deep Dive</w:t>
      </w:r>
      <w:r>
        <w:rPr/>
        <w:t xml:space="preserve"> opens a full standalone report in a new tab — technicals, fundamentals and</w:t>
        <w:br/>
        <w:t>short interest, plus options analytics (at-the-money IV, implied move, max pain, 25-delta</w:t>
        <w:br/>
        <w:t>skew, IV term structure, 30-day constant-maturity IV, net GEX and flip, open-interest</w:t>
        <w:br/>
        <w:t xml:space="preserve">walls) and an IV/RV rank. </w:t>
      </w:r>
      <w:r>
        <w:rPr>
          <w:b/>
        </w:rPr>
        <w:t>AI Query</w:t>
      </w:r>
      <w:r>
        <w:rPr/>
        <w:t xml:space="preserve"> opens the same digest formatted as a chat prompt</w:t>
        <w:br/>
        <w:t>you can copy into an AI assistant — it makes no API call itself.</w:t>
      </w:r>
    </w:p>
    <w:p>
      <w:pPr>
        <w:pStyle w:val="Heading3"/>
      </w:pPr>
      <w:r>
        <w:rPr/>
        <w:t>Why it matters</w:t>
      </w:r>
    </w:p>
    <w:p>
      <w:r>
        <w:rPr/>
        <w:t>The honesty of the Position verdict is what sets it apart. Most retail scoring systems</w:t>
        <w:br/>
        <w:t>are hand-tuned and never tested; this one publishes its own out-of-sample accuracy, so</w:t>
        <w:br/>
        <w:t>you can see how much to trust it. An expected excess return of +1.3% with a 52% hit rate</w:t>
        <w:br/>
        <w:t xml:space="preserve">is a </w:t>
      </w:r>
      <w:r>
        <w:rPr>
          <w:b/>
        </w:rPr>
        <w:t>small</w:t>
      </w:r>
      <w:r>
        <w:rPr/>
        <w:t xml:space="preserve"> edge, and the page says so plainly rather than dressing it up.</w:t>
      </w:r>
    </w:p>
    <w:p>
      <w:r>
        <w:rPr/>
        <w:t xml:space="preserve">The </w:t>
      </w:r>
      <w:r>
        <w:rPr>
          <w:b/>
        </w:rPr>
        <w:t>excess-versus-S&amp;P</w:t>
      </w:r>
      <w:r>
        <w:rPr/>
        <w:t xml:space="preserve"> framing is the right one and is frequently missed elsewhere: a</w:t>
        <w:br/>
        <w:t>stock returning +3% in a month the index returned +5% has lost you money in</w:t>
        <w:br/>
        <w:t>opportunity terms.</w:t>
      </w:r>
    </w:p>
    <w:p>
      <w:r>
        <w:rPr>
          <w:b/>
        </w:rPr>
        <w:t>Where it is weak.</w:t>
      </w:r>
      <w:r>
        <w:rPr/>
        <w:t xml:space="preserve"> Fundamentals come from the broker's instrument data and are</w:t>
        <w:br/>
        <w:t>sometimes stale or odd — negative P/E on unprofitable companies, extreme PEG values.</w:t>
        <w:br/>
        <w:t>Read the fundamentals card as indicative. The model is also cross-sectional, so it ranks</w:t>
        <w:br/>
      </w:r>
      <w:r>
        <w:rPr>
          <w:i/>
        </w:rPr>
        <w:t>relative</w:t>
      </w:r>
      <w:r>
        <w:rPr/>
        <w:t xml:space="preserve"> to the universe; in a falling market the top-ranked stock still falls.</w:t>
      </w:r>
    </w:p>
    <w:p>
      <w:pPr>
        <w:pStyle w:val="Heading3"/>
      </w:pPr>
      <w:r>
        <w:rPr/>
        <w:t>When to use it</w:t>
      </w:r>
    </w:p>
    <w:p>
      <w:r>
        <w:rPr/>
        <w:t xml:space="preserve">Before taking a directional options position, and when </w:t>
      </w:r>
      <w:r>
        <w:rPr>
          <w:color w:val="2E6DB4"/>
        </w:rPr>
        <w:t>Momentum</w:t>
      </w:r>
      <w:r>
        <w:rPr/>
        <w:t xml:space="preserve"> surfaces a</w:t>
        <w:br/>
        <w:t>name you do not know.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Strategy Finder</w:t>
      </w:r>
      <w:r>
        <w:rPr/>
        <w:t xml:space="preserve"> (how to express the view) ·</w:t>
        <w:br/>
      </w:r>
      <w:r>
        <w:rPr>
          <w:color w:val="2E6DB4"/>
        </w:rPr>
        <w:t>Expected Move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09:28 ET morning run, then every 30 minutes within the entry window </w:t>
            </w:r>
            <w:r>
              <w:rPr>
                <w:b/>
              </w:rPr>
              <w:t>09:45–15:30 ET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2E6DB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(its candidate source) · </w:t>
      </w:r>
      <w:r>
        <w:rPr>
          <w:color w:val="2E6DB4"/>
        </w:rPr>
        <w:t>Sentiment</w:t>
      </w:r>
      <w:r>
        <w:rPr/>
        <w:t xml:space="preserve"> ·</w:t>
        <w:br/>
      </w:r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&amp; Industry</w:t>
      </w:r>
      <w:r>
        <w:rPr/>
        <w:t xml:space="preserve"> (context for the RS column) ·</w:t>
        <w:br/>
      </w:r>
      <w:r>
        <w:rPr>
          <w:color w:val="2E6DB4"/>
        </w:rPr>
        <w:t>Trade Analyzer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Paper Account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four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Memurai (Redis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Memurai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Settings</w:t>
      </w:r>
      <w:r>
        <w:rPr/>
        <w:t xml:space="preserve"> (API call counts) · </w:t>
      </w:r>
      <w:r>
        <w:rPr>
          <w:color w:val="2E6DB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unlocks it.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System Status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and the</w:t>
        <w:br/>
        <w:t xml:space="preserve">web app itself. </w:t>
      </w:r>
      <w:r>
        <w:rPr>
          <w:b/>
        </w:rPr>
        <w:t>Memurai is deliberately left running</w:t>
      </w:r>
      <w:r>
        <w:rPr/>
        <w:t>, because it is a shared Windows</w:t>
        <w:br/>
        <w:t>service 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t xml:space="preserve"> (or </w:t>
      </w:r>
      <w:r>
        <w:rPr>
          <w:rFonts w:ascii="Consolas" w:hAnsi="Consolas"/>
          <w:color w:val="334455"/>
          <w:sz w:val="19"/>
        </w:rPr>
        <w:t>start_all_hidden.bat</w:t>
      </w:r>
      <w:r>
        <w:rPr/>
        <w:t xml:space="preserve"> to run windowless).</w:t>
      </w:r>
    </w:p>
    <w:p>
      <w:r>
        <w:rPr/>
        <w:t xml:space="preserve">It is rendered as a danger-outlined button and sits </w:t>
      </w:r>
      <w:r>
        <w:rPr>
          <w:b/>
        </w:rPr>
        <w:t>last</w:t>
      </w:r>
      <w:r>
        <w:rPr/>
        <w:t xml:space="preserve"> in the menu so that</w:t>
        <w:br/>
        <w:t>overshooting Settings cannot land on it.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Plus a 09:28 ET morning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2E6DB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2E6DB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2E6DB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2E6DB4"/>
              </w:rPr>
              <w:t>Cboe VIX products</w:t>
            </w:r>
            <w:r>
              <w:rPr/>
              <w:t xml:space="preserve"> · </w:t>
            </w:r>
            <w:r>
              <w:rPr>
                <w:color w:val="2E6DB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2E6DB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