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 pins</w:t>
        <w:br/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pip</w:t>
      </w:r>
      <w:r>
        <w:rPr/>
        <w:t xml:space="preserve"> even though nothing imports them at runtime, because</w:t>
        <w:br/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 audits the whole environment and an unpinned tool is a package whose version</w:t>
        <w:br/>
        <w:t>differs between machines — which is how four setuptools CVEs sat unnoticed until</w:t>
        <w:br/>
        <w:t xml:space="preserve">2026-08-19, and how prod was still on </w:t>
      </w:r>
      <w:r>
        <w:rPr>
          <w:b/>
        </w:rPr>
        <w:t>pip 24.0 (six advisories)</w:t>
      </w:r>
      <w:r>
        <w:rPr/>
        <w:t xml:space="preserve"> that same day while</w:t>
        <w:br/>
        <w:t xml:space="preserve">dev audited clean.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both by default</w:t>
      </w:r>
      <w:r>
        <w:rPr/>
        <w:t xml:space="preserve"> (verified), so</w:t>
        <w:br/>
        <w:t>regenerating the lock that way silently drops the pins and quietly 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and 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all import it rather</w:t>
        <w:br/>
        <w:t xml:space="preserve">than declaring their own.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