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2026-08-23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Windows 10 or 11.</w:t>
      </w:r>
      <w:r>
        <w:t xml:space="preserve"> The app is Windows-first — the launchers are </w:t>
      </w:r>
      <w:r>
        <w:rPr>
          <w:rFonts w:ascii="Consolas" w:hAnsi="Consolas"/>
          <w:color w:val="334455"/>
          <w:sz w:val="19"/>
        </w:rPr>
        <w:t>.bat</w:t>
      </w:r>
      <w:r>
        <w:t xml:space="preserve"> files,</w:t>
        <w:br/>
        <w:t xml:space="preserve">  the alert pop-ups use Windows notifications, and the data backbone (Memurai) is a</w:t>
        <w:br/>
        <w:t xml:space="preserve">  Windows service.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 environment</w:t>
        <w:br/>
        <w:t xml:space="preserve">  the launchers expect and installs everything:</w:t>
      </w:r>
    </w:p>
    <w:p>
      <w:r>
        <w:rPr>
          <w:rFonts w:ascii="Consolas" w:hAnsi="Consolas"/>
          <w:color w:val="334455"/>
          <w:sz w:val="19"/>
        </w:rPr>
        <w:t>powershell</w:t>
        <w:br/>
        <w:t xml:space="preserve">  python -m venv .venv</w:t>
        <w:br/>
        <w:t xml:space="preserve">  .\.venv\Scripts\python -m pip install -r requirements.txt</w:t>
      </w:r>
    </w:p>
    <w:p>
      <w:pPr>
        <w:pStyle w:val="ListBullet"/>
      </w:pPr>
      <w:r>
        <w:rPr>
          <w:b/>
        </w:rPr>
        <w:t>Memurai running.</w:t>
      </w:r>
      <w:r>
        <w:t xml:space="preserve"> Memurai is a Windows version of Redis — the local "backbone"</w:t>
        <w:br/>
        <w:t xml:space="preserve">  the app's parts talk through. It installs as a </w:t>
      </w:r>
      <w:r>
        <w:rPr>
          <w:b/>
        </w:rPr>
        <w:t>Windows service on port 6379</w:t>
      </w:r>
      <w:r>
        <w:t>;</w:t>
        <w:br/>
        <w:t xml:space="preserve">  start it from </w:t>
      </w:r>
      <w:r>
        <w:rPr>
          <w:b/>
        </w:rPr>
        <w:t>services.msc</w:t>
      </w:r>
      <w:r>
        <w:t xml:space="preserve"> if it isn't already running. </w:t>
      </w:r>
      <w:r>
        <w:rPr>
          <w:b/>
        </w:rPr>
        <w:t>Nothing works</w:t>
        <w:br/>
        <w:t xml:space="preserve">  without it</w:t>
      </w:r>
      <w:r>
        <w:t xml:space="preserve"> — every page will just say "Waiting for … service."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(Memurai),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six domain services, and the web app in </w:t>
            </w:r>
            <w:r>
              <w:rPr>
                <w:b/>
              </w:rPr>
              <w:t>eight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eight processes, but as </w:t>
            </w:r>
            <w:r>
              <w:rPr>
                <w:b/>
              </w:rPr>
              <w:t>eight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six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</w:t>
            </w:r>
            <w:r>
              <w:rPr>
                <w:b/>
              </w:rPr>
              <w:t>VIX</w:t>
            </w:r>
            <w:r>
              <w:rPr/>
              <w:t xml:space="preserve"> and its band, the </w:t>
            </w:r>
            <w:r>
              <w:rPr>
                <w:b/>
              </w:rPr>
              <w:t>market regime</w:t>
            </w:r>
            <w:r>
              <w:rPr/>
              <w:t xml:space="preserve"> word, and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</w:tbl>
    <w:p/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Three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VIX but not SPX or QQQ.</w:t>
      </w:r>
      <w:r>
        <w:t xml:space="preserve"> Those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</w:t>
      </w:r>
    </w:p>
    <w:p>
      <w:r>
        <w:br/>
      </w:r>
    </w:p>
    <w:p>
      <w:pPr>
        <w:pStyle w:val="Heading2"/>
      </w:pPr>
      <w:r>
        <w:rPr/>
        <w:t>Live Mirror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/desk/live</w:t>
      </w:r>
      <w:r>
        <w:rPr/>
        <w:t xml:space="preserve"> — pinned in the rail directly under </w:t>
      </w:r>
      <w:r>
        <w:rPr>
          <w:b/>
        </w:rPr>
        <w:t>Desk</w:t>
      </w:r>
      <w:r>
        <w:rPr/>
        <w:t>, and it</w:t>
        <w:br/>
      </w:r>
      <w:r>
        <w:rPr>
          <w:b/>
        </w:rPr>
        <w:t>opens in a new browser tab</w:t>
      </w:r>
      <w:r>
        <w:rPr/>
        <w:t>, so the tab you were working in stays where it was.</w:t>
      </w:r>
    </w:p>
    <w:p>
      <w:r>
        <w:rPr>
          <w:b/>
        </w:rPr>
        <w:t>The Desk, on a screen you are not sitting at.</w:t>
      </w:r>
      <w:r>
        <w:rPr/>
        <w:t xml:space="preserve"> Same panels, same numbers, same</w:t>
        <w:br/>
        <w:t>layout, built as a plain web page instead of an app page. It keeps updating on a</w:t>
        <w:br/>
        <w:t>wall display, a spare monitor, a tablet or a phone, and it picks itself back up on</w:t>
        <w:br/>
        <w:t>its own after the machine sleeps, the Wi-Fi drops, or the browser suspends the tab.</w:t>
      </w:r>
    </w:p>
    <w:p>
      <w:r>
        <w:rPr>
          <w:b/>
        </w:rPr>
        <w:t>How to use it:</w:t>
      </w:r>
      <w:r>
        <w:rPr/>
        <w:t xml:space="preserve"> open it once, drag the window to the display you want it on, and</w:t>
        <w:br/>
        <w:t xml:space="preserve">leave it. Clicking a row still opens the page it came from, and </w:t>
      </w:r>
      <w:r>
        <w:rPr>
          <w:b/>
        </w:rPr>
        <w:t>Open the full</w:t>
        <w:br/>
        <w:t>Desk</w:t>
      </w:r>
      <w:r>
        <w:rPr/>
        <w:t xml:space="preserve"> at the top left brings you back to the app.</w:t>
      </w:r>
    </w:p>
    <w:p>
      <w:r>
        <w:rPr>
          <w:b/>
        </w:rPr>
        <w:t>What is different from the Desk: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Desk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Live Mirror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Panels</w:t>
            </w:r>
          </w:p>
        </w:tc>
        <w:tc>
          <w:tcPr>
            <w:tcW w:type="dxa" w:w="2880"/>
          </w:tcPr>
          <w:p>
            <w:r/>
            <w:r>
              <w:rPr/>
              <w:t>2x2, stacking to one column on a narrow screen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always 2x2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After sleep or a dropped connection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reload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reconnects itself</w:t>
            </w:r>
          </w:p>
        </w:tc>
      </w:tr>
    </w:tbl>
    <w:p/>
    <w:p>
      <w:r>
        <w:rPr/>
        <w:t>The layout difference is deliberate: a screen you have pinned somewhere should not</w:t>
        <w:br/>
        <w:t>rearrange itself. On a narrow display the columns tighten and long values shorten</w:t>
        <w:br/>
        <w:t>with an ellipsis instead of the panels moving.</w:t>
      </w:r>
    </w:p>
    <w:p>
      <w:r>
        <w:rPr>
          <w:b/>
        </w:rPr>
        <w:t>The indicator at the top right tells you whether to trust the screen:</w:t>
      </w:r>
    </w:p>
    <w:p>
      <w:pPr>
        <w:pStyle w:val="ListBullet"/>
      </w:pPr>
      <w:r>
        <w:rPr>
          <w:b/>
        </w:rPr>
        <w:t>Live</w:t>
      </w:r>
      <w:r>
        <w:t xml:space="preserve"> — connected, and what you are looking at is current.</w:t>
      </w:r>
    </w:p>
    <w:p>
      <w:pPr>
        <w:pStyle w:val="ListBullet"/>
      </w:pPr>
      <w:r>
        <w:rPr>
          <w:b/>
        </w:rPr>
        <w:t>Reconnecting</w:t>
      </w:r>
      <w:r>
        <w:t xml:space="preserve"> — the connection dropped and the page is retrying by itself. The</w:t>
        <w:br/>
        <w:t xml:space="preserve">  numbers are the last good ones until it says Live again.</w:t>
      </w:r>
    </w:p>
    <w:p>
      <w:r>
        <w:rPr>
          <w:b/>
        </w:rPr>
        <w:t>The countdown keeps ticking every second even when nothing else changes</w:t>
      </w:r>
      <w:r>
        <w:rPr/>
        <w:t>, and</w:t>
        <w:br/>
        <w:t>that is the point: a frozen page and a quiet market look identical from across the</w:t>
        <w:br/>
        <w:t>room, and the moving clock is how you tell them apart.</w:t>
      </w:r>
    </w:p>
    <w:p>
      <w:r>
        <w:rPr>
          <w:b/>
        </w:rPr>
        <w:t>Every number comes from the Desk's own code</w:t>
      </w:r>
      <w:r>
        <w:rPr/>
        <w:t>, so the mirror cannot drift from</w:t>
        <w:br/>
        <w:t>it. If the two ever disagree, one of them has stopped updating — check the</w:t>
        <w:br/>
        <w:t>indicator. The same honesty rules apply, because they are the same rules: walls are</w:t>
        <w:br/>
        <w:t>hidden rather than zeroed when the gamma feed is stale, and a missing reading shows</w:t>
        <w:br/>
        <w:t>a dash rather than a zero.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one </w:t>
      </w:r>
      <w:r>
        <w:rPr>
          <w:b/>
        </w:rPr>
        <w:t>card</w:t>
      </w:r>
      <w:r>
        <w:rPr/>
        <w:t xml:space="preserve"> per leg 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>,</w:t>
        <w:br/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 xml:space="preserve">, plus </w:t>
      </w:r>
      <w:r>
        <w:rPr>
          <w:b/>
        </w:rPr>
        <w:t>Add leg</w:t>
      </w:r>
      <w:r>
        <w:rPr/>
        <w:t xml:space="preserve"> and a remove ✕ that locks at the last leg</w:t>
        <w:br/>
        <w:t>(a position with no legs has nothing to simulate). The Simulator's snapshot carries</w:t>
        <w:br/>
        <w:t>no Greeks, so its leg cards show no Delta column — the Calculator's do. Every tab</w:t>
        <w:br/>
        <w:t xml:space="preserve">below operates on the </w:t>
      </w:r>
      <w:r>
        <w:rPr>
          <w:b/>
        </w:rPr>
        <w:t>netted</w:t>
      </w:r>
      <w:r>
        <w:rPr/>
        <w:t xml:space="preserve"> 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Trade Analyzer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</w:t>
      </w:r>
    </w:p>
    <w:p>
      <w:r>
        <w:rPr/>
        <w:t xml:space="preserve">On-demand analysis of a single symbol. Type a </w:t>
      </w:r>
      <w:r>
        <w:rPr>
          <w:b/>
        </w:rPr>
        <w:t>Symbol</w:t>
      </w:r>
      <w:r>
        <w:rPr/>
        <w:t xml:space="preserve"> and press </w:t>
      </w:r>
      <w:r>
        <w:rPr>
          <w:b/>
        </w:rPr>
        <w:t>Analyze</w:t>
      </w:r>
      <w:r>
        <w:rPr/>
        <w:br/>
        <w:t>(tabbing out of the field does it too).</w:t>
      </w:r>
    </w:p>
    <w:p>
      <w:r>
        <w:rPr>
          <w:b/>
        </w:rPr>
        <w:t>Two more buttons sit beside Analyze, and each opens a separate screen in a new</w:t>
        <w:br/>
        <w:t>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A full standalone report for the symbol — technicals, fundamentals and short interest, plus options analytics (at-the-money IV, implied move, max pain, 25-delta skew, IV term structure, 30-day constant-maturity IV, net GEX and flip, open-interest walls) and an IV/RV rank.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digest formatted as a </w:t>
            </w:r>
            <w:r>
              <w:rPr>
                <w:b/>
              </w:rPr>
              <w:t>copyable chat prompt</w:t>
            </w:r>
            <w:r>
              <w:rPr/>
              <w:t xml:space="preserve"> you can paste into an AI assistant. It makes </w:t>
            </w:r>
            <w:r>
              <w:rPr>
                <w:b/>
              </w:rPr>
              <w:t>no</w:t>
            </w:r>
            <w:r>
              <w:rPr/>
              <w:t xml:space="preserve"> API call itself, so it costs nothing.</w:t>
            </w:r>
          </w:p>
        </w:tc>
      </w:tr>
    </w:tbl>
    <w:p/>
    <w:p>
      <w:pPr>
        <w:pStyle w:val="IntenseQuote"/>
      </w:pPr>
      <w:r>
        <w:rPr/>
        <w:t>IV rank reads "building" until enough daily snapshots have accumulated for that</w:t>
        <w:br/>
        <w:t>symbol. That is expected on a name you have just started analyzing.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with the symbol, price, bias, and volume.</w:t>
      </w:r>
    </w:p>
    <w:p>
      <w:pPr>
        <w:pStyle w:val="ListBullet"/>
      </w:pPr>
      <w:r>
        <w:rPr>
          <w:b/>
        </w:rPr>
        <w:t>Two verdict cards side by side</w:t>
      </w:r>
      <w:r>
        <w:t xml:space="preserve"> — </w:t>
      </w:r>
      <w:r>
        <w:rPr>
          <w:b/>
        </w:rPr>
        <w:t>Position</w:t>
      </w:r>
      <w:r>
        <w:t xml:space="preserve"> (1–8 weeks) and </w:t>
      </w:r>
      <w:r>
        <w:rPr>
          <w:b/>
        </w:rPr>
        <w:t>Investor</w:t>
      </w:r>
      <w:r>
        <w:br/>
        <w:t xml:space="preserve">  (months+):</w:t>
      </w:r>
    </w:p>
    <w:p>
      <w:pPr>
        <w:pStyle w:val="ListBullet"/>
      </w:pPr>
      <w:r>
        <w:rPr>
          <w:b/>
        </w:rPr>
        <w:t>Position (1–8 weeks)</w:t>
      </w:r>
      <w:r>
        <w:t xml:space="preserve"> is </w:t>
      </w:r>
      <w:r>
        <w:rPr>
          <w:b/>
        </w:rPr>
        <w:t>backtested</w:t>
      </w:r>
      <w:r>
        <w:t>. Rather than a hand-tuned score, it</w:t>
        <w:br/>
        <w:t xml:space="preserve">    ranks the stock on a set of price/volume factors that were </w:t>
      </w:r>
      <w:r>
        <w:rPr>
          <w:i/>
        </w:rPr>
        <w:t>validated against real</w:t>
        <w:br/>
        <w:t xml:space="preserve">    forward returns</w:t>
      </w:r>
      <w:r>
        <w:t xml:space="preserve"> (which factors matter, and by how much, was learned from history —</w:t>
        <w:br/>
        <w:t xml:space="preserve">    not guessed), then places it in a </w:t>
      </w:r>
      <w:r>
        <w:rPr>
          <w:b/>
        </w:rPr>
        <w:t>calibrated band</w:t>
      </w:r>
      <w:r>
        <w:t>. The headline shows the</w:t>
        <w:br/>
        <w:t xml:space="preserve">    Buy / Hold / Sell verdict for that band plus what the band has </w:t>
      </w:r>
      <w:r>
        <w:rPr>
          <w:i/>
        </w:rPr>
        <w:t>historically</w:t>
      </w:r>
      <w:r>
        <w:br/>
        <w:t xml:space="preserve">    delivered: a band </w:t>
      </w:r>
      <w:r>
        <w:rPr>
          <w:b/>
        </w:rPr>
        <w:t>percentile</w:t>
      </w:r>
      <w:r>
        <w:t xml:space="preserve">, an </w:t>
      </w:r>
      <w:r>
        <w:rPr>
          <w:b/>
        </w:rPr>
        <w:t>expected return</w:t>
      </w:r>
      <w:r>
        <w:t xml:space="preserve"> over the model's horizon</w:t>
        <w:br/>
        <w:t xml:space="preserve">    (≈ 4 weeks), and how often names in that band </w:t>
      </w:r>
      <w:r>
        <w:rPr>
          <w:b/>
        </w:rPr>
        <w:t>beat the S&amp;P 500</w:t>
      </w:r>
      <w:r>
        <w:t xml:space="preserve"> — e.g.</w:t>
        <w:br/>
        <w:t xml:space="preserve">    </w:t>
      </w:r>
      <w:r>
        <w:rPr>
          <w:i/>
        </w:rPr>
        <w:t>"90th pctile · +1.3% / 20d · 52% beat-SPY"</w:t>
      </w:r>
      <w:r>
        <w:t xml:space="preserve">. Open </w:t>
      </w:r>
      <w:r>
        <w:rPr>
          <w:b/>
        </w:rPr>
        <w:t>"Why — validated factors"</w:t>
      </w:r>
      <w:r>
        <w:t xml:space="preserve"> to</w:t>
        <w:br/>
        <w:t xml:space="preserve">    see each factor's contribution (momentum, trend quality, relative strength,</w:t>
        <w:br/>
        <w:t xml:space="preserve">    volatility, turnover…) and the </w:t>
      </w:r>
      <w:r>
        <w:rPr>
          <w:b/>
        </w:rPr>
        <w:t>model's own track record</w:t>
      </w:r>
      <w:r>
        <w:t xml:space="preserve"> (its version date and</w:t>
        <w:br/>
        <w:t xml:space="preserve">    out-of-sample accuracy). The previous hand-tuned verdict is still available under a</w:t>
        <w:br/>
        <w:t xml:space="preserve">    collapsed </w:t>
      </w:r>
      <w:r>
        <w:rPr>
          <w:b/>
        </w:rPr>
        <w:t>"Legacy heuristic"</w:t>
      </w:r>
      <w:r>
        <w:t xml:space="preserve"> section for comparison. </w:t>
      </w:r>
      <w:r>
        <w:rPr>
          <w:i/>
        </w:rPr>
        <w:t>Honest note:</w:t>
      </w:r>
      <w:r>
        <w:t xml:space="preserve"> the edge is</w:t>
        <w:br/>
        <w:t xml:space="preserve">    real but </w:t>
      </w:r>
      <w:r>
        <w:rPr>
          <w:b/>
        </w:rPr>
        <w:t>small and regime-dependent</w:t>
      </w:r>
      <w:r>
        <w:t xml:space="preserve"> — treat it as one weighted input, not a</w:t>
        <w:br/>
        <w:t xml:space="preserve">    guarantee. The </w:t>
      </w:r>
      <w:r>
        <w:rPr>
          <w:b/>
        </w:rPr>
        <w:t>Investor (months+)</w:t>
      </w:r>
      <w:r>
        <w:t xml:space="preserve"> validation is deferred (it needs fundamentals</w:t>
        <w:br/>
        <w:t xml:space="preserve">    history), so that card is unchanged.</w:t>
      </w:r>
    </w:p>
    <w:p>
      <w:pPr>
        <w:pStyle w:val="ListBullet"/>
      </w:pPr>
      <w:r>
        <w:rPr>
          <w:b/>
        </w:rPr>
        <w:t>Investor (months+)</w:t>
      </w:r>
      <w:r>
        <w:rPr/>
        <w:t xml:space="preserve"> shows a Buy / Hold / Sell verdict (color-coded), a score,</w:t>
        <w:br/>
        <w:t xml:space="preserve">    the top reasons, any hard "gates" that fired, and an expandable factor breakdown.</w:t>
      </w:r>
      <w:r>
        <w:rPr/>
        <w:br/>
      </w:r>
      <w:r>
        <w:rPr>
          <w:b/>
        </w:rPr>
        <w:t>The Markov Forecast card was removed in June 2026</w:t>
      </w:r>
      <w:r>
        <w:rPr/>
        <w:t xml:space="preserve"> and no longer appears on</w:t>
        <w:br/>
        <w:t xml:space="preserve">this page. It projected the </w:t>
      </w:r>
      <w:r>
        <w:rPr>
          <w:i/>
        </w:rPr>
        <w:t>legacy</w:t>
      </w:r>
      <w:r>
        <w:rPr/>
        <w:t xml:space="preserve"> technical-momentum score, which contradicted</w:t>
        <w:br/>
        <w:t>the validated Position read sitting beside it. The underlying forecast is still</w:t>
        <w:br/>
        <w:t>computed and still reaches the data feed, but nothing on this screen renders it.</w:t>
      </w:r>
      <w:r>
        <w:rPr/>
        <w:br/>
      </w:r>
    </w:p>
    <w:p>
      <w:pPr>
        <w:pStyle w:val="ListBullet"/>
      </w:pPr>
      <w:r>
        <w:rPr/>
        <w:t xml:space="preserve">An </w:t>
      </w:r>
      <w:r>
        <w:rPr>
          <w:b/>
        </w:rPr>
        <w:t>MTF EMA Alignment</w:t>
      </w:r>
      <w:r>
        <w:rPr/>
        <w:t xml:space="preserve"> card (per-timeframe trend agreement: Daily, 4H, 1H, 15m,</w:t>
        <w:br/>
        <w:t xml:space="preserve">  5m, 1m).</w:t>
      </w:r>
    </w:p>
    <w:p>
      <w:pPr>
        <w:pStyle w:val="ListBullet"/>
      </w:pPr>
      <w:r>
        <w:t xml:space="preserve">A </w:t>
      </w:r>
      <w:r>
        <w:rPr>
          <w:b/>
        </w:rPr>
        <w:t>Momentum</w:t>
      </w:r>
      <w:r>
        <w:t xml:space="preserve"> strip (RSI, ADX, MACD histogram, VWAP, relative volume).</w:t>
      </w:r>
    </w:p>
    <w:p>
      <w:pPr>
        <w:pStyle w:val="ListBullet"/>
      </w:pPr>
      <w:r>
        <w:t xml:space="preserve">A </w:t>
      </w:r>
      <w:r>
        <w:rPr>
          <w:b/>
        </w:rPr>
        <w:t>Sector</w:t>
      </w:r>
      <w:r>
        <w:t xml:space="preserve"> card and, when available, a </w:t>
      </w:r>
      <w:r>
        <w:rPr>
          <w:b/>
        </w:rPr>
        <w:t>Fundamentals</w:t>
      </w:r>
      <w:r>
        <w:t xml:space="preserve"> card (P/E, PEG, revenue</w:t>
        <w:br/>
        <w:t xml:space="preserve">  &amp; EPS growth, ROE, margin trend).</w:t>
      </w:r>
    </w:p>
    <w:p>
      <w:r>
        <w:rPr/>
        <w:t>The analysis persists as you navigate away and back.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Memurai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also unlocks browser audio for the session.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