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a count of the </w:t>
      </w:r>
      <w:r>
        <w:rPr>
          <w:b/>
        </w:rPr>
        <w:t>stocks whose industry and sector both</w:t>
        <w:br/>
        <w:t xml:space="preserve">   confirm</w:t>
      </w:r>
      <w:r>
        <w:t xml:space="preserve"> — the highest-conviction rows on the page.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each.</w:t>
      </w:r>
    </w:p>
    <w:p>
      <w:pPr>
        <w:pStyle w:val="ListNumber"/>
      </w:pPr>
      <w:r>
        <w:rPr>
          <w:b/>
        </w:rPr>
        <w:t>What a score is made of</w:t>
      </w:r>
      <w:r>
        <w:t xml:space="preserve"> — the current leader decomposed into its five z-scores,</w:t>
        <w:br/>
        <w:t xml:space="preserve">   as bars either side of a centre line (the universe average).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