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>A performance table for the eleven S&amp;P 500 sectors, each expandable into the industries</w:t>
        <w:br/>
        <w:t>inside it. It is the "where is it working" screen.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summary line</w:t>
      </w:r>
      <w:r>
        <w:rPr/>
        <w:t xml:space="preserve"> gives three numbers at once: what percentage of sectors are green,</w:t>
        <w:br/>
        <w:t>the cap-weighted move (what the index actually did), and a 0–10 score. Below it a</w:t>
        <w:br/>
        <w:t xml:space="preserve">sentence names the </w:t>
      </w:r>
      <w:r>
        <w:rPr>
          <w:b/>
        </w:rPr>
        <w:t>cyclical versus defensive</w:t>
      </w:r>
      <w:r>
        <w:rPr/>
        <w:t xml:space="preserve"> spread and the day's leaders and</w:t>
        <w:br/>
        <w:t>laggards.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>Name and its tradeable proxy.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Day % / Week % / Month %</w:t>
            </w:r>
          </w:p>
        </w:tc>
        <w:tc>
          <w:tcPr>
            <w:tcW w:type="dxa" w:w="4320"/>
          </w:tcPr>
          <w:p>
            <w:r/>
            <w:r>
              <w:rPr/>
              <w:t>Return over each window, green up, red down.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Put/call volume for that sector's options. Call-heavy is green.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/>
              <w:t xml:space="preserve">The sector's rotation quadrant — Leading, Weakening, Lagging, Improving. See </w:t>
            </w:r>
            <w:r>
              <w:rPr>
                <w:color w:val="2E6DB4"/>
              </w:rPr>
              <w:t>RRG</w:t>
            </w:r>
            <w:r>
              <w:rPr/>
              <w:t>.</w:t>
            </w:r>
          </w:p>
        </w:tc>
      </w:tr>
    </w:tbl>
    <w:p/>
    <w:p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 sector.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</w:t>
      </w:r>
      <w:r>
        <w:rPr>
          <w:i/>
        </w:rPr>
        <w:t xml:space="preserve"> (the app's home page)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