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Load a chain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near-black. The chain carries no per-contract Greeks, so the cards here</w:t>
        <w:br/>
        <w:t>show no per-leg delta, and the last leg cannot be removed (a position with no legs</w:t>
        <w:br/>
        <w:t>leaves the charts frozen on the previous sweep).</w:t>
      </w:r>
    </w:p>
    <w:p>
      <w:r>
        <w:rPr/>
        <w:t>The top panel has three columns: the symbol controls, the strategy and its legs, and</w:t>
        <w:br/>
        <w:t xml:space="preserve">six </w:t>
      </w:r>
      <w:r>
        <w:rPr>
          <w:b/>
        </w:rPr>
        <w:t>position tiles</w:t>
      </w:r>
      <w:r>
        <w:rPr/>
        <w:t xml:space="preserve"> — entry credit or debit, max profit, max loss, breakevens,</w:t>
        <w:br/>
        <w:t>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matters more here than at any shorter horizon — and why the third state</w:t>
        <w:br/>
        <w:t>matters. A symbol the calendar has never heard of and a symbol it knows is clear both</w:t>
        <w:br/>
        <w:t>leave the date blank; collapsing them would let the gate fail open silently on exactly</w:t>
        <w:br/>
        <w:t>the names most likely to be traded.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