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2026-09-07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ticker.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Regenerate the units after a port, path or identity change.</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contrarian</w:t>
      </w:r>
      <w:r>
        <w:t xml:space="preserve"> (10 = max fear /</w:t>
        <w:br/>
        <w:t xml:space="preserve">  opportunity, 1 = max greed / risk).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interpolate(PC_THRESHOLDS,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interpolated linearly between points; higher P/C</w:t>
        <w:br/>
        <w:t>(more fear)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IV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IV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IV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vol proxy):</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5-min paper manage cycle</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every </w:t>
            </w:r>
            <w:r>
              <w:rPr>
                <w:b/>
              </w:rPr>
              <w:t>40 min</w:t>
            </w:r>
            <w:r>
              <w:rPr/>
              <w:t xml:space="preserve"> RTH / </w:t>
            </w:r>
            <w:r>
              <w:rPr>
                <w:b/>
              </w:rPr>
              <w:t>60 min</w:t>
            </w:r>
            <w:r>
              <w:rPr/>
              <w:t xml:space="preserve"> off-hours (</w:t>
            </w:r>
            <w:r>
              <w:rPr>
                <w:rFonts w:ascii="Consolas" w:hAnsi="Consolas"/>
                <w:color w:val="334455"/>
                <w:sz w:val="19"/>
              </w:rPr>
              <w:t>SUMMARY_RTH_SEC</w:t>
            </w:r>
            <w:r>
              <w:rPr/>
              <w:t xml:space="preserve">, </w:t>
            </w:r>
            <w:r>
              <w:rPr>
                <w:rFonts w:ascii="Consolas" w:hAnsi="Consolas"/>
                <w:color w:val="334455"/>
                <w:sz w:val="19"/>
              </w:rPr>
              <w:t>SUMMARY_OFFHOURS_SEC</w:t>
            </w:r>
            <w:r>
              <w:rPr/>
              <w:t>).</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