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symbol, or click the </w:t>
      </w:r>
      <w:r>
        <w:rPr>
          <w:b/>
        </w:rPr>
        <w:t>Alert type</w:t>
      </w:r>
      <w:r>
        <w:rPr/>
        <w:t xml:space="preserve"> chips to switch a type off or on (</w:t>
      </w:r>
      <w:r>
        <w:rPr>
          <w:b/>
        </w:rPr>
        <w:t>All</w:t>
      </w:r>
      <w:r>
        <w:rPr/>
        <w:t xml:space="preserve"> shows</w:t>
        <w:br/>
        <w:t>every type) — filtering is instant, and the types you switch off are remembered.</w:t>
        <w:br/>
      </w:r>
      <w:r>
        <w:rPr>
          <w:b/>
        </w:rPr>
        <w:t>Click a symbol</w:t>
      </w:r>
      <w:r>
        <w:rPr/>
        <w:t xml:space="preserve"> (the dotted underline) to open Dealer Positioning for it.</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Sector map</w:t>
            </w:r>
          </w:p>
        </w:tc>
        <w:tc>
          <w:tcPr>
            <w:tcW w:type="dxa" w:w="4320"/>
            <w:shd w:val="clear" w:color="auto" w:fill="F4F6FA"/>
          </w:tcPr>
          <w:p>
            <w:r/>
            <w:r>
              <w:rPr/>
              <w:t>Which sector each symbol counts toward for the sector cap</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