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 tying Sentiment, Trend, Bias, Signal, Regime and Bull/Bear together,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carries one sentence,</w:t>
        <w:br/>
        <w:t>written by Claude, that reads the six panels above it together and closes with a</w:t>
        <w:br/>
        <w:t>posture — for example "Sentiment is fearful while price grinds higher against a</w:t>
        <w:br/>
        <w:t>weakening trend; favor defined-risk premium over direction." Two things about it</w:t>
        <w:br/>
        <w:t>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The scale is contrarian, so </w:t>
      </w:r>
      <w:r>
        <w:rPr>
          <w:i/>
        </w:rPr>
        <w:t>Bullish</w:t>
      </w:r>
      <w:r>
        <w:br/>
        <w:t xml:space="preserve">  means the crowd is fearful, not that price is rising.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