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sessions come from </w:t>
      </w:r>
      <w:r>
        <w:rPr>
          <w:rFonts w:ascii="Consolas" w:hAnsi="Consolas"/>
          <w:color w:val="334455"/>
          <w:sz w:val="19"/>
        </w:rPr>
        <w:t>prob_sources</w:t>
      </w:r>
      <w:r>
        <w:rPr/>
        <w:t xml:space="preserve">; see </w:t>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the page marks a weight </w:t>
      </w:r>
      <w:r>
        <w:rPr>
          <w:b/>
        </w:rPr>
        <w:t>assumed</w:t>
      </w:r>
      <w:r>
        <w:rPr/>
        <w:t xml:space="preserve"> when that is under</w:t>
        <w:br/>
      </w:r>
      <w:r>
        <w:rPr>
          <w:rFonts w:ascii="Consolas" w:hAnsi="Consolas"/>
          <w:color w:val="334455"/>
          <w:sz w:val="19"/>
        </w:rPr>
        <w:t>[prob] assumed_days</w:t>
      </w:r>
      <w:r>
        <w:rPr/>
        <w:t xml:space="preserve"> (5).</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flow from 5 October, sentiment from about 14 October), else the source is a gap for that</w:t>
        <w:br/>
        <w:t>call.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assumed_days</w:t>
      </w:r>
      <w:r>
        <w:rPr/>
        <w:t xml:space="preserve"> (5);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