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none of it was</w:t>
        <w:br/>
        <w:t xml:space="preserve">  measured, and none of it is in the usual win rates or the chance of target.</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those days are fewer than 5</w:t>
        <w:br/>
        <w:t xml:space="preserve">  (the weight is still the starting guess, not a measurement).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 That includes open</w:t>
        <w:br/>
        <w:t>trades: realized profit and the closed count only ever include closed trades, but</w:t>
        <w:br/>
        <w:t xml:space="preserve">the </w:t>
      </w:r>
      <w:r>
        <w:rPr>
          <w:b/>
        </w:rPr>
        <w:t>Opened</w:t>
      </w:r>
      <w:r>
        <w:rPr/>
        <w:t xml:space="preserve"> and </w:t>
      </w:r>
      <w:r>
        <w:rPr>
          <w:b/>
        </w:rPr>
        <w:t>Credit collected</w:t>
      </w:r>
      <w:r>
        <w:rPr/>
        <w:t xml:space="preserve"> columns count every trade by its entry day,</w:t>
        <w:br/>
        <w:t>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the days under which a weight reads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