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2026-09-20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four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not: the engine's is </w:t>
      </w:r>
      <w:r>
        <w:rPr>
          <w:b/>
        </w:rPr>
        <w:t>$250</w:t>
      </w:r>
      <w:r>
        <w:rPr/>
        <w:t>, which also decides how wide the</w:t>
        <w:br/>
        <w:t>scanner builds its spreads, and at $250 most of the Directional tab's long options</w:t>
        <w:br/>
        <w:t>could not be opened by hand at all.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t xml:space="preserve">The automatic run </w:t>
      </w:r>
      <w:r>
        <w:rPr>
          <w:b/>
        </w:rPr>
        <w:t>writes nothing</w:t>
      </w:r>
      <w:r>
        <w:t xml:space="preserve"> if every cache it reads is empty, so a stopped</w:t>
        <w:br/>
        <w:t xml:space="preserve">  stack leaves the existing report alone rather than replacing it with a page of</w:t>
        <w:br/>
        <w:t xml:space="preserve">  "No data" notes.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driver's risk envelope, flow-alert thresholds,</w:t>
        <w:br/>
        <w:t>session windows and scheduled-job times, symbol lists, the sector map and</w:t>
        <w:br/>
        <w:t>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the</w:t>
        <w:br/>
        <w:t>driver's decision maker and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08:52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