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2026-10-05</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panel,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joined to </w:t>
            </w:r>
            <w:r>
              <w:rPr>
                <w:rFonts w:ascii="Consolas" w:hAnsi="Consolas"/>
                <w:color w:val="334455"/>
                <w:sz w:val="19"/>
              </w:rPr>
              <w:t>options:flow_alerts</w:t>
            </w:r>
            <w:r>
              <w:rPr/>
              <w:t xml:space="preserve"> by alert id</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Room</w:t>
      </w:r>
      <w:r>
        <w:t xml:space="preserve"> is </w:t>
      </w:r>
      <w:r>
        <w:rPr>
          <w:rFonts w:ascii="Consolas" w:hAnsi="Consolas"/>
          <w:color w:val="334455"/>
          <w:sz w:val="19"/>
        </w:rPr>
        <w:t>(call_wall − spot) ÷ spot × 100</w:t>
      </w:r>
      <w:r>
        <w:t>. At or through the ceiling counts as at</w:t>
        <w:br/>
        <w:t xml:space="preserve">  it. The symbols must agree: one at its ceiling and one with room is </w:t>
      </w:r>
      <w:r>
        <w:rPr>
          <w:rFonts w:ascii="Consolas" w:hAnsi="Consolas"/>
          <w:color w:val="334455"/>
          <w:sz w:val="19"/>
        </w:rPr>
        <w:t>neutral</w:t>
      </w:r>
      <w: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fewer than</w:t>
        <w:br/>
      </w:r>
      <w:r>
        <w:rPr>
          <w:rFonts w:ascii="Consolas" w:hAnsi="Consolas"/>
          <w:color w:val="334455"/>
          <w:sz w:val="19"/>
        </w:rPr>
        <w:t>flow.min_contracts</w:t>
      </w:r>
      <w:r>
        <w:rPr/>
        <w:t xml:space="preserve"> (10) contracts are flagged, fewer than two cross-asset tiles have a</w:t>
        <w:br/>
        <w:t xml:space="preserve">colour, or its source view is absent. A row that raises is also </w:t>
      </w:r>
      <w:r>
        <w:rPr>
          <w:rFonts w:ascii="Consolas" w:hAnsi="Consolas"/>
          <w:color w:val="334455"/>
          <w:sz w:val="19"/>
        </w:rPr>
        <w:t>none</w:t>
      </w:r>
      <w:r>
        <w:rPr/>
        <w:t>, and the other</w:t>
        <w:br/>
        <w:t>five still 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Two kinds of "too old".</w:t>
      </w:r>
      <w:r>
        <w:rPr/>
        <w:t xml:space="preserve"> The dashboard and the matrix are republished on a clock, so</w:t>
        <w:br/>
        <w:t xml:space="preserve">an old one means its publisher has stopped: they are dropped when their </w:t>
      </w:r>
      <w:r>
        <w:rPr>
          <w:rFonts w:ascii="Consolas" w:hAnsi="Consolas"/>
          <w:color w:val="334455"/>
          <w:sz w:val="19"/>
        </w:rPr>
        <w:t>:ts</w:t>
      </w:r>
      <w:r>
        <w:rPr/>
        <w:t xml:space="preserve"> side key</w:t>
        <w:br/>
        <w:t xml:space="preserve">is older than </w:t>
      </w:r>
      <w:r>
        <w:rPr>
          <w:rFonts w:ascii="Consolas" w:hAnsi="Consolas"/>
          <w:color w:val="334455"/>
          <w:sz w:val="19"/>
        </w:rPr>
        <w:t>stale_after_sec</w:t>
      </w:r>
      <w:r>
        <w:rPr/>
        <w:t xml:space="preserve"> (300). The two flow views are published only when</w:t>
        <w:br/>
        <w:t>something changes, so a quiet tape leaves them legitimately old: they are dropped when</w:t>
        <w:br/>
        <w:t xml:space="preserve">the session </w:t>
      </w:r>
      <w:r>
        <w:rPr>
          <w:rFonts w:ascii="Consolas" w:hAnsi="Consolas"/>
          <w:color w:val="334455"/>
          <w:sz w:val="19"/>
        </w:rPr>
        <w:t>date</w:t>
      </w:r>
      <w:r>
        <w:rPr/>
        <w:t xml:space="preserve"> they carry is not today's.</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The 15:00 reading is</w:t>
        <w:br/>
      </w:r>
      <w:r>
        <w:rPr>
          <w:rFonts w:ascii="Consolas" w:hAnsi="Consolas"/>
          <w:color w:val="334455"/>
          <w:sz w:val="19"/>
        </w:rPr>
        <w:t>final</w:t>
      </w:r>
      <w:r>
        <w:rPr/>
        <w:t>. On its first call after a start the service reads the published view back, so</w:t>
        <w:br/>
        <w:t>a restart neither repeats a slot nor loses the day's history.</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skip_unchanged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flow</w:t>
      </w:r>
      <w:r>
        <w:rPr/>
        <w:t xml:space="preserve"> also carries </w:t>
      </w:r>
      <w:r>
        <w:rPr>
          <w:rFonts w:ascii="Consolas" w:hAnsi="Consolas"/>
          <w:color w:val="334455"/>
          <w:sz w:val="19"/>
        </w:rPr>
        <w:t>estimate: true</w:t>
      </w:r>
      <w:r>
        <w:rPr/>
        <w:t xml:space="preserve">); </w:t>
      </w:r>
      <w:r>
        <w:rPr>
          <w:rFonts w:ascii="Consolas" w:hAnsi="Consolas"/>
          <w:color w:val="334455"/>
          <w:sz w:val="19"/>
        </w:rPr>
        <w:t>prev</w:t>
      </w:r>
      <w:r>
        <w:rPr/>
        <w:t xml:space="preserve"> is the</w:t>
        <w:br/>
        <w:t xml:space="preserve">previous slot's </w:t>
      </w:r>
      <w:r>
        <w:rPr>
          <w:rFonts w:ascii="Consolas" w:hAnsi="Consolas"/>
          <w:color w:val="334455"/>
          <w:sz w:val="19"/>
        </w:rPr>
        <w:t>{verdict, facts}</w:t>
      </w:r>
      <w:r>
        <w:rPr/>
        <w:t xml:space="preserve"> for the same row, or </w:t>
      </w:r>
      <w:r>
        <w:rPr>
          <w:rFonts w:ascii="Consolas" w:hAnsi="Consolas"/>
          <w:color w:val="334455"/>
          <w:sz w:val="19"/>
        </w:rPr>
        <w:t>null</w:t>
      </w:r>
      <w:r>
        <w:rPr/>
        <w:t xml:space="preserve">. </w:t>
      </w:r>
      <w:r>
        <w:rPr>
          <w:rFonts w:ascii="Consolas" w:hAnsi="Consolas"/>
          <w:color w:val="334455"/>
          <w:sz w:val="19"/>
        </w:rPr>
        <w:t>history</w:t>
      </w:r>
      <w:r>
        <w:rPr/>
        <w:t xml:space="preserve"> is the day's</w:t>
        <w:br/>
      </w:r>
      <w:r>
        <w:rPr>
          <w:rFonts w:ascii="Consolas" w:hAnsi="Consolas"/>
          <w:color w:val="334455"/>
          <w:sz w:val="19"/>
        </w:rPr>
        <w:t>{slot, verdicts}</w:t>
      </w:r>
      <w:r>
        <w:rPr/>
        <w:t xml:space="preserve"> list.</w:t>
      </w:r>
    </w:p>
    <w:p>
      <w:r>
        <w:rPr>
          <w:b/>
        </w:rPr>
        <w:t>The Desk panel.</w:t>
      </w:r>
      <w:r>
        <w:rPr/>
        <w:t xml:space="preserve">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 xml:space="preserve">without a new one. On the public origin the panel shows only when </w:t>
      </w:r>
      <w:r>
        <w:rPr>
          <w:rFonts w:ascii="Consolas" w:hAnsi="Consolas"/>
          <w:color w:val="334455"/>
          <w:sz w:val="19"/>
        </w:rPr>
        <w:t>public</w:t>
      </w:r>
      <w:r>
        <w:rPr/>
        <w:t xml:space="preserve"> is </w:t>
      </w:r>
      <w:r>
        <w:rPr>
          <w:rFonts w:ascii="Consolas" w:hAnsi="Consolas"/>
          <w:color w:val="334455"/>
          <w:sz w:val="19"/>
        </w:rPr>
        <w:t>true</w:t>
      </w:r>
      <w:r>
        <w:rPr/>
        <w:t>.</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