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second line: the estimated share of its volume that was bought, sold, or could not be told</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p>
        </w:tc>
        <w:tc>
          <w:tcPr>
            <w:tcW w:type="dxa" w:w="4320"/>
          </w:tcPr>
          <w:p>
            <w:r/>
            <w:r>
              <w:rPr/>
              <w:t xml:space="preserve">Six readings, each marked Tailwind, Headwind or Neutral for stocks, retaken every 15 minutes in the session. See </w:t>
            </w:r>
            <w:r>
              <w:rPr>
                <w:color w:val="5D5294"/>
              </w:rPr>
              <w:t>The Market read</w:t>
            </w:r>
            <w:r>
              <w:rPr/>
              <w:t>. Full width</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3"/>
      </w:pPr>
      <w:r>
        <w:rPr/>
        <w:t>The Market read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Changes apply at the next reading.</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reads, for example:</w:t>
      </w:r>
    </w:p>
    <w:p>
      <w:pPr>
        <w:pStyle w:val="IntenseQuote"/>
      </w:pPr>
      <w:r>
        <w:rPr/>
        <w:t>≈ bought 56.67% · sold 29.95% · unlabelled 13.38%</w:t>
        <w:br/>
        <w:t>since the alert: bought 71.05% · sold 20.00% · unlabelled 8.95% of 12,400</w:t>
      </w:r>
    </w:p>
    <w:p>
      <w:pPr>
        <w:pStyle w:val="ListBullet"/>
      </w:pPr>
      <w:r>
        <w:t xml:space="preserve">The </w:t>
      </w:r>
      <w:r>
        <w:rPr>
          <w:b/>
        </w:rPr>
        <w:t>first line</w:t>
      </w:r>
      <w:r>
        <w:t xml:space="preserve"> covers the contract's whole day. Once a minute the app takes the</w:t>
        <w:br/>
        <w:t xml:space="preserv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Unlabelled</w:t>
      </w:r>
      <w:r>
        <w:t xml:space="preserve"> is volume the app could not tell: a trade at the exact midpoint, a</w:t>
        <w:br/>
        <w:t xml:space="preserve">  quote it could not read, or volume that printed while the app was not watching (a</w:t>
        <w:br/>
        <w:t xml:space="preserve">  restart, a missed minute). When this share is large, the estimate is thin.</w:t>
      </w:r>
    </w:p>
    <w:p>
      <w:pPr>
        <w:pStyle w:val="ListBullet"/>
      </w:pPr>
      <w:r>
        <w:t xml:space="preserve">The </w:t>
      </w:r>
      <w:r>
        <w:rPr>
          <w:b/>
        </w:rPr>
        <w:t>second line</w:t>
      </w:r>
      <w:r>
        <w:t xml:space="preserve"> appears once the contract has traded after its alert. From the</w:t>
        <w:br/>
        <w:t xml:space="preserv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