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and </w:t>
            </w:r>
            <w:r>
              <w:rPr>
                <w:b/>
              </w:rPr>
              <w:t>Hedging-flow model (HIRO)</w:t>
            </w:r>
            <w:r>
              <w:rPr/>
              <w:t xml:space="preserve"> for the two hedging alerts)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120 s old against the clock (</w:t>
            </w:r>
            <w:r>
              <w:rPr>
                <w:rFonts w:ascii="Consolas" w:hAnsi="Consolas"/>
                <w:color w:val="334455"/>
                <w:sz w:val="19"/>
              </w:rPr>
              <w:t>hiro.FRESH_ROW_SEC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 against</w:t>
        <w:br/>
        <w:t>the clock (</w:t>
      </w:r>
      <w:r>
        <w:rPr>
          <w:rFonts w:ascii="Consolas" w:hAnsi="Consolas"/>
          <w:color w:val="334455"/>
          <w:sz w:val="19"/>
        </w:rPr>
        <w:t>hiro.FLIP_MAX_AGE_SEC</w:t>
      </w:r>
      <w:r>
        <w:rPr/>
        <w:t>), so a restart cannot fire an old reversal.</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