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Only the single-leg directionals, the debit and credit</w:t>
        <w:br/>
        <w:t>verticals and the iron condor built from the credit spreads keep the nearest expiry in</w:t>
        <w:br/>
        <w:t>the window. At the page's default DTE min of 0 this</w:t>
        <w:br/>
        <w:t>means no straddle, strangle, fly, condor or share structure is built on a 0–6 DTE expiry</w:t>
        <w:br/>
        <w:t>(operator decision, 2026-09-13 — on a daily-listing name those were same-day bets).</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