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</w:t>
      </w:r>
      <w:r>
        <w:rPr>
          <w:b/>
        </w:rPr>
        <w:t>This is the app's landing page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here. It is also the group's first tab, so</w:t>
        <w:br/>
        <w:t xml:space="preserve">clicking </w:t>
      </w:r>
      <w:r>
        <w:rPr>
          <w:b/>
        </w:rPr>
        <w:t>Trend &amp; Sentiment</w:t>
      </w:r>
      <w:r>
        <w:rPr/>
        <w:t xml:space="preserve"> in the rail lands here.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Four frames —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 </w:t>
      </w:r>
      <w:r>
        <w:rPr>
          <w:b/>
        </w:rPr>
        <w:t>Countries</w:t>
      </w:r>
      <w:r>
        <w:t xml:space="preserve"> —</w:t>
        <w:br/>
        <w:t xml:space="preserve">  re-order themselves by the day's move. Every other frame keeps its curated order</w:t>
        <w:br/>
        <w:t xml:space="preserve"> 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a count of the </w:t>
      </w:r>
      <w:r>
        <w:rPr>
          <w:b/>
        </w:rPr>
        <w:t>stocks whose industry and sector both</w:t>
        <w:br/>
        <w:t xml:space="preserve">   confirm</w:t>
      </w:r>
      <w:r>
        <w:t xml:space="preserve"> — the highest-conviction rows on the page.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