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Strategy Tools:</w:t>
        <w:br/>
        <w:t xml:space="preserve">  the Calculator, Simulator and Expected Move),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 Since 2026-10-24 </w:t>
            </w:r>
            <w:r>
              <w:rPr>
                <w:rFonts w:ascii="Consolas" w:hAnsi="Consolas"/>
                <w:color w:val="334455"/>
                <w:sz w:val="19"/>
              </w:rPr>
              <w:t>Sector</w:t>
            </w:r>
            <w:r>
              <w:rPr/>
              <w:t xml:space="preserve"> and </w:t>
            </w:r>
            <w:r>
              <w:rPr>
                <w:rFonts w:ascii="Consolas" w:hAnsi="Consolas"/>
                <w:color w:val="334455"/>
                <w:sz w:val="19"/>
              </w:rPr>
              <w:t>Industry</w:t>
            </w:r>
            <w:r>
              <w:rPr/>
              <w:t xml:space="preserve"> are Yahoo Finance's (Morningstar's taxonomy: 11 sectors, about 150 industries) for the 5,888 rows Yahoo profiles, with </w:t>
            </w:r>
            <w:r>
              <w:rPr>
                <w:rFonts w:ascii="Consolas" w:hAnsi="Consolas"/>
                <w:color w:val="334455"/>
                <w:sz w:val="19"/>
              </w:rPr>
              <w:t>Sector_Source = "Yahoo Finance"</w:t>
            </w:r>
            <w:r>
              <w:rPr/>
              <w:t xml:space="preserve">; the Nasdaq screener's earlier values are kept in </w:t>
            </w:r>
            <w:r>
              <w:rPr>
                <w:rFonts w:ascii="Consolas" w:hAnsi="Consolas"/>
                <w:color w:val="334455"/>
                <w:sz w:val="19"/>
              </w:rPr>
              <w:t>Nasdaq_Sector</w:t>
            </w:r>
            <w:r>
              <w:rPr/>
              <w:t xml:space="preserve"> / </w:t>
            </w:r>
            <w:r>
              <w:rPr>
                <w:rFonts w:ascii="Consolas" w:hAnsi="Consolas"/>
                <w:color w:val="334455"/>
                <w:sz w:val="19"/>
              </w:rPr>
              <w:t>Nasdaq_Industry</w:t>
            </w:r>
            <w:r>
              <w:rPr/>
              <w:t xml:space="preserve">. The 32 rows Yahoo does not profile (exchange-traded notes, trust certificates) keep the Nasdaq industry with the sector renamed into Yahoo's words. </w:t>
            </w:r>
            <w:r>
              <w:rPr>
                <w:rFonts w:ascii="Consolas" w:hAnsi="Consolas"/>
                <w:color w:val="334455"/>
                <w:sz w:val="19"/>
              </w:rPr>
              <w:t>Sub_Industry</w:t>
            </w:r>
            <w:r>
              <w:rPr/>
              <w:t xml:space="preserve"> is the SEC SIC description and does not nest under </w:t>
            </w:r>
            <w:r>
              <w:rPr>
                <w:rFonts w:ascii="Consolas" w:hAnsi="Consolas"/>
                <w:color w:val="334455"/>
                <w:sz w:val="19"/>
              </w:rPr>
              <w:t>Industry</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w:t>
      </w:r>
      <w:r>
        <w:rPr>
          <w:rFonts w:ascii="Consolas" w:hAnsi="Consolas"/>
          <w:color w:val="334455"/>
          <w:sz w:val="19"/>
        </w:rPr>
        <w:t>options_svc.forward_grid</w:t>
      </w:r>
      <w:r>
        <w:rPr/>
        <w:t xml:space="preserve"> (the heat maps' projected afternoon)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ThinkorSwim bracket order (Trade detail panel)</w:t>
      </w:r>
    </w:p>
    <w:p>
      <w:r>
        <w:rPr>
          <w:rFonts w:ascii="Consolas" w:hAnsi="Consolas"/>
          <w:color w:val="334455"/>
          <w:sz w:val="19"/>
        </w:rPr>
        <w:t>webgui/pages/options/tos_order.py</w:t>
      </w:r>
      <w:r>
        <w:rPr/>
        <w:t xml:space="preserve"> builds the text the </w:t>
      </w:r>
      <w:r>
        <w:rPr>
          <w:b/>
        </w:rPr>
        <w:t>Copy ThinkorSwim</w:t>
        <w:br/>
        <w:t>order</w:t>
      </w:r>
      <w:r>
        <w:rPr/>
        <w:t xml:space="preserve"> button copies, for a </w:t>
      </w:r>
      <w:r>
        <w:rPr>
          <w:b/>
        </w:rPr>
        <w:t>vertical</w:t>
      </w:r>
      <w:r>
        <w:rPr/>
        <w:t xml:space="preserve"> only: two option legs, one long and</w:t>
        <w:br/>
        <w:t>one short, same right, same expiration, same quantity.</w:t>
      </w:r>
    </w:p>
    <w:p>
      <w:pPr>
        <w:pStyle w:val="ListBullet"/>
      </w:pPr>
      <w:r>
        <w:rPr>
          <w:b/>
        </w:rPr>
        <w:t>Direction</w:t>
      </w:r>
      <w:r>
        <w:t xml:space="preserve"> comes from the strikes, never the sign of the price: a call</w:t>
        <w:br/>
        <w:t xml:space="preserve">  vertical is a debit when its long strike is the lower, a put vertical when its</w:t>
        <w:br/>
        <w:t xml:space="preserve">  long strike is the higher. ThinkorSwim reads </w:t>
      </w:r>
      <w:r>
        <w:rPr>
          <w:rFonts w:ascii="Consolas" w:hAnsi="Consolas"/>
          <w:color w:val="334455"/>
          <w:sz w:val="19"/>
        </w:rPr>
        <w:t>A/B</w:t>
      </w:r>
      <w:r>
        <w:t xml:space="preserve"> as long A, short B per +1,</w:t>
        <w:br/>
        <w:t xml:space="preserve">  so a debit opens </w:t>
      </w:r>
      <w:r>
        <w:rPr>
          <w:rFonts w:ascii="Consolas" w:hAnsi="Consolas"/>
          <w:color w:val="334455"/>
          <w:sz w:val="19"/>
        </w:rPr>
        <w:t>BUY +q … long/short</w:t>
      </w:r>
      <w:r>
        <w:t xml:space="preserve"> and a credit </w:t>
      </w:r>
      <w:r>
        <w:rPr>
          <w:rFonts w:ascii="Consolas" w:hAnsi="Consolas"/>
          <w:color w:val="334455"/>
          <w:sz w:val="19"/>
        </w:rPr>
        <w:t>SELL -q … short/long</w:t>
      </w:r>
      <w:r>
        <w:t>.</w:t>
      </w:r>
    </w:p>
    <w:p>
      <w:pPr>
        <w:pStyle w:val="ListBullet"/>
      </w:pPr>
      <w:r>
        <w:rPr>
          <w:b/>
        </w:rPr>
        <w:t>Price</w:t>
      </w:r>
      <w:r>
        <w:t xml:space="preserve">: the absolute value of </w:t>
      </w:r>
      <w:r>
        <w:rPr>
          <w:rFonts w:ascii="Consolas" w:hAnsi="Consolas"/>
          <w:color w:val="334455"/>
          <w:sz w:val="19"/>
        </w:rPr>
        <w:t>net_cost</w:t>
      </w:r>
      <w:r>
        <w:t xml:space="preserve">, else of </w:t>
      </w:r>
      <w:r>
        <w:rPr>
          <w:rFonts w:ascii="Consolas" w:hAnsi="Consolas"/>
          <w:color w:val="334455"/>
          <w:sz w:val="19"/>
        </w:rPr>
        <w:t>credit</w:t>
      </w:r>
      <w:r>
        <w:t xml:space="preserve"> (per share), to</w:t>
        <w:br/>
        <w:t xml:space="preserve">  two decimals.</w:t>
      </w:r>
    </w:p>
    <w:p>
      <w:pPr>
        <w:pStyle w:val="ListBullet"/>
      </w:pPr>
      <w:r>
        <w:rPr>
          <w:b/>
        </w:rPr>
        <w:t>Exits</w:t>
      </w:r>
      <w:r>
        <w:t xml:space="preserve">, from </w:t>
      </w:r>
      <w:r>
        <w:rPr>
          <w:rFonts w:ascii="Consolas" w:hAnsi="Consolas"/>
          <w:color w:val="334455"/>
          <w:sz w:val="19"/>
        </w:rPr>
        <w:t>config/tos_order.toml</w:t>
      </w:r>
      <w:r>
        <w:t xml:space="preserve"> (read on every click): debit</w:t>
        <w:br/>
        <w:t xml:space="preserve">  </w:t>
      </w:r>
      <w:r>
        <w:rPr>
          <w:rFonts w:ascii="Consolas" w:hAnsi="Consolas"/>
          <w:color w:val="334455"/>
          <w:sz w:val="19"/>
        </w:rPr>
        <w:t>@TRG+100.00% LMT</w:t>
      </w:r>
      <w:r>
        <w:t xml:space="preserve"> and </w:t>
      </w:r>
      <w:r>
        <w:rPr>
          <w:rFonts w:ascii="Consolas" w:hAnsi="Consolas"/>
          <w:color w:val="334455"/>
          <w:sz w:val="19"/>
        </w:rPr>
        <w:t>STP TRG-50.00% MARK</w:t>
      </w:r>
      <w:r>
        <w:t xml:space="preserve">; credit </w:t>
      </w:r>
      <w:r>
        <w:rPr>
          <w:rFonts w:ascii="Consolas" w:hAnsi="Consolas"/>
          <w:color w:val="334455"/>
          <w:sz w:val="19"/>
        </w:rPr>
        <w:t>@TRG-50.00% LMT</w:t>
      </w:r>
      <w:r>
        <w:t xml:space="preserve"> and</w:t>
        <w:br/>
        <w:t xml:space="preserve">  </w:t>
      </w:r>
      <w:r>
        <w:rPr>
          <w:rFonts w:ascii="Consolas" w:hAnsi="Consolas"/>
          <w:color w:val="334455"/>
          <w:sz w:val="19"/>
        </w:rPr>
        <w:t>STP TRG+100.00% MARK</w:t>
      </w:r>
      <w:r>
        <w:t xml:space="preserve">. Both are </w:t>
      </w:r>
      <w:r>
        <w:rPr>
          <w:rFonts w:ascii="Consolas" w:hAnsi="Consolas"/>
          <w:color w:val="334455"/>
          <w:sz w:val="19"/>
        </w:rPr>
        <w:t>TRG BY #1 OCO</w:t>
      </w:r>
      <w:r>
        <w:t>: the opening order triggers</w:t>
        <w:br/>
        <w:t xml:space="preserve">  them and each cancels the other. A percentage below the entry must be under</w:t>
        <w:br/>
        <w:t xml:space="preserve">  100, or it falls back to the default.</w:t>
      </w:r>
    </w:p>
    <w:p>
      <w:pPr>
        <w:pStyle w:val="ListBullet"/>
      </w:pPr>
      <w:r>
        <w:rPr>
          <w:b/>
        </w:rPr>
        <w:t>Series tag</w:t>
      </w:r>
      <w:r>
        <w:t xml:space="preserve">: </w:t>
      </w:r>
      <w:r>
        <w:rPr>
          <w:rFonts w:ascii="Consolas" w:hAnsi="Consolas"/>
          <w:color w:val="334455"/>
          <w:sz w:val="19"/>
        </w:rPr>
        <w:t>(Weeklys)</w:t>
      </w:r>
      <w:r>
        <w:t xml:space="preserve"> for any expiration except the monthly — the third</w:t>
        <w:br/>
        <w:t xml:space="preserve">  Friday, or the session before it when that Friday is a closure</w:t>
        <w:br/>
        <w:t xml:space="preserve">  (</w:t>
      </w:r>
      <w:r>
        <w:rPr>
          <w:rFonts w:ascii="Consolas" w:hAnsi="Consolas"/>
          <w:color w:val="334455"/>
          <w:sz w:val="19"/>
        </w:rPr>
        <w:t>shared/market_calendar</w:t>
      </w:r>
      <w:r>
        <w:t xml:space="preserve">). A </w:t>
      </w:r>
      <w:r>
        <w:rPr>
          <w:rFonts w:ascii="Consolas" w:hAnsi="Consolas"/>
          <w:color w:val="334455"/>
          <w:sz w:val="19"/>
        </w:rPr>
        <w:t>$</w:t>
      </w:r>
      <w:r>
        <w:t xml:space="preserve"> is stripped from an index symbol (</w:t>
      </w:r>
      <w:r>
        <w:rPr>
          <w:rFonts w:ascii="Consolas" w:hAnsi="Consolas"/>
          <w:color w:val="334455"/>
          <w:sz w:val="19"/>
        </w:rPr>
        <w:t>$SPX</w:t>
      </w:r>
      <w:r>
        <w:t xml:space="preserve"> →</w:t>
        <w:br/>
        <w:t xml:space="preserve">  </w:t>
      </w:r>
      <w:r>
        <w:rPr>
          <w:rFonts w:ascii="Consolas" w:hAnsi="Consolas"/>
          <w:color w:val="334455"/>
          <w:sz w:val="19"/>
        </w:rPr>
        <w:t>SPX</w:t>
      </w:r>
      <w:r>
        <w:t>).</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are traced across the collected minutes and the projected</w:t>
        <w:br/>
        <w:t xml:space="preserve">afternoon as one grid, and the part past </w:t>
      </w:r>
      <w:r>
        <w:rPr>
          <w:b/>
        </w:rPr>
        <w:t>now</w:t>
      </w:r>
      <w:r>
        <w:rPr/>
        <w:t xml:space="preserve"> is drawn dashed (a Highcharts zone on</w:t>
        <w:br/>
        <w:t>the x axis, so the series count does not change).</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and the projected afternoon is smoothed with them, so nothing steps at</w:t>
        <w:br/>
      </w:r>
      <w:r>
        <w:rPr>
          <w:b/>
        </w:rPr>
        <w:t>now</w:t>
      </w:r>
      <w:r>
        <w:rPr/>
        <w:t>.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The heat maps' projected afternoon</w:t>
      </w:r>
    </w:p>
    <w:p>
      <w:r>
        <w:rPr/>
        <w:t xml:space="preserve">From the open to a minute before the close, </w:t>
      </w:r>
      <w:r>
        <w:rPr>
          <w:rFonts w:ascii="Consolas" w:hAnsi="Consolas"/>
          <w:color w:val="334455"/>
          <w:sz w:val="19"/>
        </w:rPr>
        <w:t>options_svc.forward_grid</w:t>
      </w:r>
      <w:r>
        <w:rPr/>
        <w:t xml:space="preserve"> prices each</w:t>
        <w:br/>
        <w:t xml:space="preserve">of the four Greek views at marks </w:t>
      </w:r>
      <w:r>
        <w:rPr>
          <w:rFonts w:ascii="Consolas" w:hAnsi="Consolas"/>
          <w:color w:val="334455"/>
          <w:sz w:val="19"/>
        </w:rPr>
        <w:t>[forward] step_min</w:t>
      </w:r>
      <w:r>
        <w:rPr/>
        <w:t xml:space="preserve"> (5) minutes apart, from now to</w:t>
        <w:br/>
        <w:t>14:59, and the page fills one column a minute between them by linear interpolation.</w:t>
        <w:br/>
        <w:t>Only the nearest expiration, only the strikes the published history keeps, and</w:t>
        <w:br/>
        <w:t>only the time left moves:</w:t>
      </w:r>
    </w:p>
    <w:p>
      <w:pPr>
        <w:spacing w:before="80" w:after="160"/>
        <w:ind w:left="216"/>
        <w:shd w:val="clear" w:color="auto" w:fill="F4F6FA"/>
      </w:pPr>
      <w:r>
        <w:rPr>
          <w:rFonts w:ascii="Consolas" w:hAnsi="Consolas"/>
          <w:color w:val="223344"/>
          <w:sz w:val="18"/>
        </w:rPr>
        <w:t>T(mark)  = (dte·24 + hours from mark to 15:00 CT) / (365·24), floored at 1e-6</w:t>
      </w:r>
      <w:r>
        <w:br/>
      </w:r>
      <w:r>
        <w:rPr>
          <w:rFonts w:ascii="Consolas" w:hAnsi="Consolas"/>
          <w:color w:val="223344"/>
          <w:sz w:val="18"/>
        </w:rPr>
        <w:t>GEX      = chain gamma · OI · 100 · S² · 0.01 · Γ_BS(T') / Γ_BS(T_now)   (put negative)</w:t>
      </w:r>
      <w:r>
        <w:br/>
      </w:r>
      <w:r>
        <w:rPr>
          <w:rFonts w:ascii="Consolas" w:hAnsi="Consolas"/>
          <w:color w:val="223344"/>
          <w:sz w:val="18"/>
        </w:rPr>
        <w:t>Charm    = charm_BS(T') · OI · 100 · S        (volatility &gt; 0 only)</w:t>
      </w:r>
      <w:r>
        <w:br/>
      </w:r>
      <w:r>
        <w:rPr>
          <w:rFonts w:ascii="Consolas" w:hAnsi="Consolas"/>
          <w:color w:val="223344"/>
          <w:sz w:val="18"/>
        </w:rPr>
        <w:t>Vanna    = vanna_BS(T') · OI · 100 · S        (volatility &gt; 0 only)</w:t>
      </w:r>
      <w:r>
        <w:br/>
      </w:r>
      <w:r>
        <w:rPr>
          <w:rFonts w:ascii="Consolas" w:hAnsi="Consolas"/>
          <w:color w:val="223344"/>
          <w:sz w:val="18"/>
        </w:rPr>
        <w:t>DEX      = (chain delta + Δ_BS(T') − Δ_BS(T_now)) · OI · 100 · S</w:t>
      </w:r>
      <w:r>
        <w:br/>
      </w:r>
      <w:r>
        <w:rPr>
          <w:rFonts w:ascii="Consolas" w:hAnsi="Consolas"/>
          <w:color w:val="223344"/>
          <w:sz w:val="18"/>
        </w:rPr>
        <w:t xml:space="preserve">           (Δ_BS(T') where the chain has no delta)</w:t>
      </w:r>
    </w:p>
    <w:p>
      <w:r>
        <w:rPr/>
        <w:t>S, open interest and each contract's volatility are held at the current chain's.</w:t>
        <w:br/>
        <w:t xml:space="preserve">Every formula is </w:t>
      </w:r>
      <w:r>
        <w:rPr>
          <w:rFonts w:ascii="Consolas" w:hAnsi="Consolas"/>
          <w:color w:val="334455"/>
          <w:sz w:val="19"/>
        </w:rPr>
        <w:t>calc_all_from_chain</w:t>
      </w:r>
      <w:r>
        <w:rPr/>
        <w:t>'s, so at the first mark (now) each value is</w:t>
        <w:br/>
        <w:t>the collected cell itself and the picture has no seam. The last mark is a minute</w:t>
        <w:br/>
        <w:t>before the close because at T → 0 the at-the-money gamma, charm and vanna diverge.</w:t>
        <w:br/>
        <w:t>Nothing is projected before the open, at or after 14:59, or on a day the market is</w:t>
        <w:br/>
        <w:t>shut. The band travels in each view's history payload (</w:t>
      </w:r>
      <w:r>
        <w:rPr>
          <w:rFonts w:ascii="Consolas" w:hAnsi="Consolas"/>
          <w:color w:val="334455"/>
          <w:sz w:val="19"/>
        </w:rPr>
        <w:t>cache:options:gamma_hist_*</w:t>
      </w:r>
      <w:r>
        <w:rPr/>
        <w:t>,</w:t>
        <w:br/>
      </w:r>
      <w:r>
        <w:rPr>
          <w:rFonts w:ascii="Consolas" w:hAnsi="Consolas"/>
          <w:color w:val="334455"/>
          <w:sz w:val="19"/>
        </w:rPr>
        <w:t>"forward"</w:t>
      </w:r>
      <w:r>
        <w:rPr/>
        <w:t>), never the main key. In the page it joins the collected rows before every</w:t>
        <w:br/>
        <w:t>transform, so Value, Show, Frame, Smooth, Share and the colour scale treat the session</w:t>
        <w:br/>
        <w:t>as one; in Adaptive the projected cells count toward the colour scale.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dealer, net-premium and flow readings come from </w:t>
      </w:r>
      <w:r>
        <w:rPr>
          <w:rFonts w:ascii="Consolas" w:hAnsi="Consolas"/>
          <w:color w:val="334455"/>
          <w:sz w:val="19"/>
        </w:rPr>
        <w:t>prob_sources</w:t>
      </w:r>
      <w:r>
        <w:rPr/>
        <w:t>; see</w:t>
        <w:br/>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shown for context. Whether a weight is </w:t>
      </w:r>
      <w:r>
        <w:rPr>
          <w:b/>
        </w:rPr>
        <w:t>assumed</w:t>
      </w:r>
      <w:r>
        <w:rPr/>
        <w:t xml:space="preserve"> is not a</w:t>
        <w:br/>
        <w:t xml:space="preserve">day count: the fit also stores </w:t>
      </w:r>
      <w:r>
        <w:rPr>
          <w:rFonts w:ascii="Consolas" w:hAnsi="Consolas"/>
          <w:color w:val="334455"/>
          <w:sz w:val="19"/>
        </w:rPr>
        <w:t>data_share[factor]</w:t>
      </w:r>
      <w:r>
        <w:rPr/>
        <w:t>, the share of that weight's posterior</w:t>
        <w:br/>
        <w:t xml:space="preserve">precision that came from the data, </w:t>
      </w:r>
      <w:r>
        <w:rPr>
          <w:rFonts w:ascii="Consolas" w:hAnsi="Consolas"/>
          <w:color w:val="334455"/>
          <w:sz w:val="19"/>
        </w:rPr>
        <w:t>H_ii / (H_ii + 1/sd_i²)</w:t>
      </w:r>
      <w:r>
        <w:rPr/>
        <w:t xml:space="preserve">, where </w:t>
      </w:r>
      <w:r>
        <w:rPr>
          <w:rFonts w:ascii="Consolas" w:hAnsi="Consolas"/>
          <w:color w:val="334455"/>
          <w:sz w:val="19"/>
        </w:rPr>
        <w:t>H = Xᵀ W diag(p(1−p)) X</w:t>
      </w:r>
      <w:r>
        <w:rPr/>
        <w:br/>
        <w:t>is the weighted data Hessian at the fitted weights (the same row weights as the fit) and</w:t>
        <w:br/>
      </w:r>
      <w:r>
        <w:rPr>
          <w:rFonts w:ascii="Consolas" w:hAnsi="Consolas"/>
          <w:color w:val="334455"/>
          <w:sz w:val="19"/>
        </w:rPr>
        <w:t>sd_i</w:t>
      </w:r>
      <w:r>
        <w:rPr/>
        <w:t xml:space="preserve"> the factor's prior spread. The page marks a weight </w:t>
      </w:r>
      <w:r>
        <w:rPr>
          <w:b/>
        </w:rPr>
        <w:t>assumed</w:t>
      </w:r>
      <w:r>
        <w:rPr/>
        <w:t xml:space="preserve"> while its share is</w:t>
        <w:br/>
        <w:t xml:space="preserve">under </w:t>
      </w:r>
      <w:r>
        <w:rPr>
          <w:rFonts w:ascii="Consolas" w:hAnsi="Consolas"/>
          <w:color w:val="334455"/>
          <w:sz w:val="19"/>
        </w:rPr>
        <w:t>[prob] assumed_share</w:t>
      </w:r>
      <w:r>
        <w:rPr/>
        <w:t xml:space="preserve"> (0.5): its weight still rests mostly on the starting</w:t>
        <w:br/>
        <w:t>assumption (less than half of it learned from data). A thin source under the tight spread</w:t>
        <w:br/>
        <w:t>(precision 100) can be read on dozens of days and stay assumed; a factor with ~180 days</w:t>
        <w:br/>
        <w:t xml:space="preserve">under the wide spread has a share near 1. A model stored before </w:t>
      </w:r>
      <w:r>
        <w:rPr>
          <w:rFonts w:ascii="Consolas" w:hAnsi="Consolas"/>
          <w:color w:val="334455"/>
          <w:sz w:val="19"/>
        </w:rPr>
        <w:t>data_share</w:t>
      </w:r>
      <w:r>
        <w:rPr/>
        <w:t xml:space="preserve"> was kept</w:t>
        <w:br/>
        <w:t>reads every factor as assumed.</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 xml:space="preserve">and flow from 5 October), else the source is a gap for that call. </w:t>
      </w:r>
      <w:r>
        <w:rPr>
          <w:b/>
        </w:rPr>
        <w:t>Sentiment is never</w:t>
        <w:br/>
        <w:t>extracted</w:t>
      </w:r>
      <w:r>
        <w:rPr/>
        <w:t>: its history is the live records only, from the first recorded call</w:t>
        <w:br/>
        <w:t>(2026-10-21).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assumed_share</w:t>
      </w:r>
      <w:r>
        <w:rPr/>
        <w:t xml:space="preserve"> (0.5);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true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