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 xml:space="preserve">⚠ </w:t>
      </w:r>
      <w:r>
        <w:rPr>
          <w:b/>
        </w:rPr>
        <w:t xml:space="preserve">Regenerate the lock with </w:t>
      </w:r>
      <w:r>
        <w:rPr>
          <w:rFonts w:ascii="Consolas" w:hAnsi="Consolas"/>
          <w:color w:val="334455"/>
          <w:sz w:val="19"/>
        </w:rPr>
        <w:t>pip freeze --all</w:t>
      </w:r>
      <w:r>
        <w:rPr>
          <w:b/>
        </w:rPr>
        <w:t xml:space="preserve">, not plain </w:t>
      </w:r>
      <w:r>
        <w:rPr>
          <w:rFonts w:ascii="Consolas" w:hAnsi="Consolas"/>
          <w:color w:val="334455"/>
          <w:sz w:val="19"/>
        </w:rPr>
        <w:t>pip freeze</w:t>
      </w:r>
      <w:r>
        <w:rPr>
          <w:b/>
        </w:rPr>
        <w:t>.</w:t>
      </w:r>
      <w:r>
        <w:rPr/>
        <w:t xml:space="preserve"> The lock pins</w:t>
        <w:br/>
      </w:r>
      <w:r>
        <w:rPr>
          <w:rFonts w:ascii="Consolas" w:hAnsi="Consolas"/>
          <w:color w:val="334455"/>
          <w:sz w:val="19"/>
        </w:rPr>
        <w:t>setuptools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pip</w:t>
      </w:r>
      <w:r>
        <w:rPr/>
        <w:t xml:space="preserve"> even though nothing imports them at runtime, because</w:t>
        <w:br/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 audits the whole environment and an unpinned tool is a package whose version</w:t>
        <w:br/>
        <w:t>differs between machines — which is how four setuptools CVEs sat unnoticed until</w:t>
        <w:br/>
        <w:t xml:space="preserve">2026-08-19, and how prod was still on </w:t>
      </w:r>
      <w:r>
        <w:rPr>
          <w:b/>
        </w:rPr>
        <w:t>pip 24.0 (six advisories)</w:t>
      </w:r>
      <w:r>
        <w:rPr/>
        <w:t xml:space="preserve"> that same day while</w:t>
        <w:br/>
        <w:t xml:space="preserve">dev audited clean. Plain 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 </w:t>
      </w:r>
      <w:r>
        <w:rPr>
          <w:b/>
        </w:rPr>
        <w:t>omits both by default</w:t>
      </w:r>
      <w:r>
        <w:rPr/>
        <w:t xml:space="preserve"> (verified), so</w:t>
        <w:br/>
        <w:t>regenerating the lock that way silently drops the pins and quietly reopens the gap.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3"/>
      </w:pPr>
      <w:r>
        <w:rPr/>
        <w:t>How the rotation screens draw those numbers</w:t>
      </w:r>
    </w:p>
    <w:p>
      <w:r>
        <w:rPr/>
        <w:t>Display geometry only — none of this feeds a score. All of it is pure and lives in</w:t>
        <w:br/>
      </w:r>
      <w:r>
        <w:rPr>
          <w:rFonts w:ascii="Consolas" w:hAnsi="Consolas"/>
          <w:color w:val="334455"/>
          <w:sz w:val="19"/>
        </w:rPr>
        <w:t>webgui/pages/rotation_view.py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rrg_view.py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momentum_view.py</w:t>
      </w:r>
      <w:r>
        <w:rPr/>
        <w:t>.</w:t>
      </w:r>
    </w:p>
    <w:p>
      <w:r>
        <w:rPr>
          <w:b/>
        </w:rPr>
        <w:t>Sector Rotation — the spread gauge.</w:t>
      </w:r>
      <w:r>
        <w:rPr/>
        <w:t xml:space="preserve"> The cyclical-vs-defensive spread on a fixed</w:t>
        <w:br/>
        <w:t>−3…+3 track: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pos(v)      = (clamp(v, -3, 3) + 3) / 6 · 100        # % across the track</w:t>
      </w:r>
      <w:r>
        <w:br/>
      </w:r>
      <w:r>
        <w:rPr>
          <w:rFonts w:ascii="Consolas" w:hAnsi="Consolas"/>
          <w:color w:val="223344"/>
          <w:sz w:val="18"/>
        </w:rPr>
        <w:t>fill        = between pos(spread) and pos(0)         # signed, so it spans to the centre</w:t>
      </w:r>
      <w:r>
        <w:br/>
      </w:r>
      <w:r>
        <w:rPr>
          <w:rFonts w:ascii="Consolas" w:hAnsi="Consolas"/>
          <w:color w:val="223344"/>
          <w:sz w:val="18"/>
        </w:rPr>
        <w:t>triggers at = pos(-threshold), pos(+threshold)       # the service's risk_threshold, ±1.50</w:t>
      </w:r>
    </w:p>
    <w:p>
      <w:r>
        <w:rPr/>
        <w:t xml:space="preserve">The fill runs </w:t>
      </w:r>
      <w:r>
        <w:rPr>
          <w:i/>
        </w:rPr>
        <w:t>between the reading and zero</w:t>
      </w:r>
      <w:r>
        <w:rPr/>
        <w:t xml:space="preserve"> rather than growing from the left, because</w:t>
        <w:br/>
        <w:t>the quantity is signed: a left-anchored bar would encode −3 and +3 as "small" and "large"</w:t>
        <w:br/>
        <w:t xml:space="preserve">instead of "opposite". The trigger sentence uses </w:t>
      </w:r>
      <w:r>
        <w:rPr>
          <w:rFonts w:ascii="Consolas" w:hAnsi="Consolas"/>
          <w:color w:val="334455"/>
          <w:sz w:val="19"/>
        </w:rPr>
        <w:t>|spread| / threshold</w:t>
      </w:r>
      <w:r>
        <w:rPr/>
        <w:t>: under 1.0 no</w:t>
        <w:br/>
        <w:t xml:space="preserve">signal has fired, under </w:t>
      </w:r>
      <w:r>
        <w:rPr>
          <w:b/>
        </w:rPr>
        <w:t>1.5</w:t>
      </w:r>
      <w:r>
        <w:rPr/>
        <w:t xml:space="preserve"> it is "just past", beyond that "entrenched".</w:t>
      </w:r>
    </w:p>
    <w:p>
      <w:r>
        <w:rPr>
          <w:b/>
        </w:rPr>
        <w:t>Sector Rotation — the flow band.</w:t>
      </w:r>
      <w:r>
        <w:rPr/>
        <w:t xml:space="preserve"> Segment and side widths are </w:t>
      </w:r>
      <w:r>
        <w:rPr>
          <w:rFonts w:ascii="Consolas" w:hAnsi="Consolas"/>
          <w:color w:val="334455"/>
          <w:sz w:val="19"/>
        </w:rPr>
        <w:t>flex-grow</w:t>
      </w:r>
      <w:r>
        <w:rPr/>
        <w:t xml:space="preserve"> values equal</w:t>
        <w:br/>
        <w:t xml:space="preserve">to the S&amp;P weight, so segment </w:t>
      </w:r>
      <w:r>
        <w:rPr>
          <w:i/>
        </w:rPr>
        <w:t>area</w:t>
      </w:r>
      <w:r>
        <w:rPr/>
        <w:t xml:space="preserve"> is index share. The split keys on the engine's own</w:t>
        <w:br/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field (</w:t>
      </w:r>
      <w:r>
        <w:rPr>
          <w:rFonts w:ascii="Consolas" w:hAnsi="Consolas"/>
          <w:color w:val="334455"/>
          <w:sz w:val="19"/>
        </w:rPr>
        <w:t>INTO</w:t>
      </w:r>
      <w:r>
        <w:rPr/>
        <w:t>/</w:t>
      </w:r>
      <w:r>
        <w:rPr>
          <w:rFonts w:ascii="Consolas" w:hAnsi="Consolas"/>
          <w:color w:val="334455"/>
          <w:sz w:val="19"/>
        </w:rPr>
        <w:t>FROM</w:t>
      </w:r>
      <w:r>
        <w:rPr/>
        <w:t xml:space="preserve">), not the quadrant. A segment under </w:t>
      </w:r>
      <w:r>
        <w:rPr>
          <w:b/>
        </w:rPr>
        <w:t>7.5%</w:t>
      </w:r>
      <w:r>
        <w:rPr/>
        <w:t xml:space="preserve"> of its own</w:t>
        <w:br/>
        <w:t>side drops its label rather than clipping it.</w:t>
      </w:r>
    </w:p>
    <w:p>
      <w:r>
        <w:rPr>
          <w:b/>
        </w:rPr>
        <w:t>RRG — the plot window.</w:t>
      </w:r>
      <w:r>
        <w:rPr/>
        <w:t xml:space="preserve"> Unlike the fixed axes above, this one is derived: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half = max(design_floor, max|value - 100| · 1.08)    # floors: 1.1 on RS-Ratio, 3.4 on RS-Mom</w:t>
      </w:r>
      <w:r>
        <w:br/>
      </w:r>
      <w:r>
        <w:rPr>
          <w:rFonts w:ascii="Consolas" w:hAnsi="Consolas"/>
          <w:color w:val="223344"/>
          <w:sz w:val="18"/>
        </w:rPr>
        <w:t>domain = [100 - half, 100 + half]                    # ALWAYS symmetric about 100</w:t>
      </w:r>
    </w:p>
    <w:p>
      <w:r>
        <w:rPr/>
        <w:t>Symmetry is load-bearing: the quadrant washes and crosshair are drawn at exactly 50%/50%,</w:t>
        <w:br/>
        <w:t>so an asymmetric window would put the axes somewhere other than 100/100 and silently</w:t>
        <w:br/>
        <w:t xml:space="preserve">reassign every sector's quadrant on screen. Marker </w:t>
      </w:r>
      <w:r>
        <w:rPr>
          <w:b/>
        </w:rPr>
        <w:t>diameter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10 + sqrt(S&amp;P weight) · 1.9</w:t>
      </w:r>
      <w:r>
        <w:rPr/>
        <w:t xml:space="preserve">, so marker </w:t>
      </w:r>
      <w:r>
        <w:rPr>
          <w:i/>
        </w:rPr>
        <w:t>area</w:t>
      </w:r>
      <w:r>
        <w:rPr/>
        <w:t xml:space="preserve"> is proportional to weight. Trails show</w:t>
        <w:br/>
        <w:t xml:space="preserve">the last </w:t>
      </w:r>
      <w:r>
        <w:rPr>
          <w:b/>
        </w:rPr>
        <w:t>5</w:t>
      </w:r>
      <w:r>
        <w:rPr/>
        <w:t xml:space="preserve"> readings, resampled along a Catmull-Rom spline (tension 0.5, end tangents</w:t>
        <w:br/>
        <w:t>clamped) — the curve passes through every real reading and only chooses the route</w:t>
        <w:br/>
        <w:t>between them.</w:t>
      </w:r>
    </w:p>
    <w:p>
      <w:r>
        <w:rPr>
          <w:b/>
        </w:rPr>
        <w:t>Momentum — the display arithmetic.</w:t>
      </w:r>
      <w:r>
        <w:rPr/>
        <w:t xml:space="preserve"> Level tracks scale with </w:t>
      </w:r>
      <w:r>
        <w:rPr>
          <w:rFonts w:ascii="Consolas" w:hAnsi="Consolas"/>
          <w:color w:val="334455"/>
          <w:sz w:val="19"/>
        </w:rPr>
        <w:t>sqrt(size / largest)</w:t>
      </w:r>
      <w:r>
        <w:rPr/>
        <w:t>.</w:t>
        <w:br/>
        <w:t xml:space="preserve">Component bars are </w:t>
      </w:r>
      <w:r>
        <w:rPr>
          <w:rFonts w:ascii="Consolas" w:hAnsi="Consolas"/>
          <w:color w:val="334455"/>
          <w:sz w:val="19"/>
        </w:rPr>
        <w:t>min(1, |z| / 3) · 50%</w:t>
      </w:r>
      <w:r>
        <w:rPr/>
        <w:t xml:space="preserve"> either side of a centre line, clamped at ±3</w:t>
        <w:br/>
        <w:t>because that is where the service caps the z-scores. The rank chart puts every series on</w:t>
        <w:br/>
        <w:t>one shared date axis (histories are ragged — 15, 10, 7 or 5 sessions) and derives its</w:t>
        <w:br/>
        <w:t>rank domain from the data rather than assuming a top-20 window; live industry ranks reach</w:t>
        <w:br/>
        <w:t>~61 and stock ranks ~272.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r>
        <w:rPr>
          <w:rFonts w:ascii="Consolas" w:hAnsi="Consolas"/>
          <w:color w:val="334455"/>
          <w:sz w:val="19"/>
        </w:rPr>
        <w:t>r</w:t>
      </w:r>
      <w:r>
        <w:rPr>
          <w:b/>
        </w:rPr>
        <w:t xml:space="preserve"> is </w:t>
      </w:r>
      <w:r>
        <w:rPr>
          <w:rFonts w:ascii="Consolas" w:hAnsi="Consolas"/>
          <w:color w:val="334455"/>
          <w:sz w:val="19"/>
        </w:rPr>
        <w:t>options_calculator.RISK_FREE_RATE = 0.045</w:t>
      </w:r>
      <w:r>
        <w:rPr>
          <w:b/>
        </w:rPr>
        <w:t>, static, and it is the single</w:t>
        <w:br/>
        <w:t>source</w:t>
      </w:r>
      <w:r>
        <w:rPr/>
        <w:t xml:space="preserve"> — the calculator, the simulator, </w:t>
      </w:r>
      <w:r>
        <w:rPr>
          <w:rFonts w:ascii="Consolas" w:hAnsi="Consolas"/>
          <w:color w:val="334455"/>
          <w:sz w:val="19"/>
        </w:rPr>
        <w:t>gamma_tool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options_svc.compute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calc_iv</w:t>
      </w:r>
      <w:r>
        <w:rPr/>
        <w:t xml:space="preserve"> and the forward projection band) and </w:t>
      </w:r>
      <w:r>
        <w:rPr>
          <w:rFonts w:ascii="Consolas" w:hAnsi="Consolas"/>
          <w:color w:val="334455"/>
          <w:sz w:val="19"/>
        </w:rPr>
        <w:t>backtest_0dte</w:t>
      </w:r>
      <w:r>
        <w:rPr/>
        <w:t xml:space="preserve"> all import it rather</w:t>
        <w:br/>
        <w:t xml:space="preserve">than declaring their own. It is a </w:t>
      </w:r>
      <w:r>
        <w:rPr>
          <w:b/>
        </w:rPr>
        <w:t>fixed assumption, not a live rate</w:t>
      </w:r>
      <w:r>
        <w:rPr/>
        <w:t>: nothing fetches</w:t>
        <w:br/>
        <w:t>a Treasury yield, so a real move in short rates does not reach the model until this</w:t>
        <w:br/>
        <w:t>constant is edited. That is a defensible simplification for the horizons this app trades</w:t>
        <w:br/>
        <w:t xml:space="preserve">— at 0DTE a half-point of rate is worth about </w:t>
      </w:r>
      <w:r>
        <w:rPr>
          <w:b/>
        </w:rPr>
        <w:t>0.23%</w:t>
      </w:r>
      <w:r>
        <w:rPr/>
        <w:t xml:space="preserve"> of the option price (measured on</w:t>
        <w:br/>
        <w:t>a 6800/6750 SPX-like put at 15% vol; 0.33% at 1 DTE, 0.69% at 7 DTE) — but it is an</w:t>
        <w:br/>
        <w:t>assumption, and on multi-week swing structures it is the least accurate input in the</w:t>
        <w:br/>
        <w:t xml:space="preserve">model. </w:t>
      </w:r>
      <w:r>
        <w:rPr>
          <w:rFonts w:ascii="Consolas" w:hAnsi="Consolas"/>
          <w:color w:val="334455"/>
          <w:sz w:val="19"/>
        </w:rPr>
        <w:t>q = 0</w:t>
      </w:r>
      <w:r>
        <w:rPr/>
        <w:t>: no dividend yield, which matters most for SPY/SPX at roughly a 1.3%</w:t>
        <w:br/>
        <w:t>annual yield on longer-dated positions.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Calculator's P&amp;L matrix.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Risk-free rate </w:t>
            </w:r>
            <w:r>
              <w:rPr>
                <w:rFonts w:ascii="Consolas" w:hAnsi="Consolas"/>
                <w:color w:val="334455"/>
                <w:sz w:val="19"/>
              </w:rPr>
              <w:t>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0.045, static (single source; </w:t>
            </w:r>
            <w:r>
              <w:rPr>
                <w:rFonts w:ascii="Consolas" w:hAnsi="Consolas"/>
                <w:color w:val="334455"/>
                <w:sz w:val="19"/>
              </w:rPr>
              <w:t>q</w:t>
            </w:r>
            <w:r>
              <w:rPr/>
              <w:t>=0, no dividend)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options_calculator.py:RISK_FREE_RATE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RRG windows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HV window</w:t>
            </w:r>
          </w:p>
        </w:tc>
        <w:tc>
          <w:tcPr>
            <w:tcW w:type="dxa" w:w="2880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