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and ratio backspreads on both</w:t>
        <w:br/>
        <w:t>tabs, and calendars and 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 (they have their own: two tracked rows per symbol).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two per symbol and a quality bar on the</w:t>
        <w:br/>
        <w:t xml:space="preserve">  Scanner, a structure may close a handful of times a month. Read the Closed</w:t>
        <w:br/>
        <w:t xml:space="preserve">  column before reading anything beside it.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