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2E6DB4"/>
        </w:rPr>
        <w:t>Market Scanner</w:t>
      </w:r>
      <w:r>
        <w:rPr/>
        <w:t xml:space="preserve"> and</w:t>
        <w:br/>
      </w:r>
      <w:r>
        <w:rPr>
          <w:color w:val="2E6DB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2E6DB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2E6DB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2E6DB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rPr>
          <w:b/>
        </w:rPr>
        <w:t>No ex-dividend dates, anywhere in this application — an accepted risk, not an</w:t>
        <w:br/>
        <w:t xml:space="preserve">  oversight.</w:t>
      </w:r>
      <w:r>
        <w:t xml:space="preserve"> A covered call written across an ex-dividend date carries a real chance of</w:t>
        <w:br/>
        <w:t xml:space="preserve">  </w:t>
      </w:r>
      <w:r>
        <w:rPr>
          <w:b/>
        </w:rPr>
        <w:t>early assignment</w:t>
      </w:r>
      <w:r>
        <w:t>: when the remaining time value of an in-the-money call is worth</w:t>
        <w:br/>
        <w:t xml:space="preserve">  less than the dividend, exercising the day before the ex-date is the rational move for</w:t>
        <w:br/>
        <w:t xml:space="preserve">  whoever holds it, and the shares are called away early. This screen will not warn you,</w:t>
        <w:br/>
        <w:t xml:space="preserve">  because the application has no source for ex-dates. It was weighed on 2026-09-06 and</w:t>
        <w:br/>
        <w:t xml:space="preserve">  accepted: the book is paper, so the cost of being surprised is a lesson rather than</w:t>
        <w:br/>
        <w:t xml:space="preserve">  money. If that ever stops being true — a real account, or dividend payers becoming a</w:t>
        <w:br/>
        <w:t xml:space="preserve">  large share of the lots — this is the gap to close first. Check the ex-date in your</w:t>
        <w:br/>
        <w:t xml:space="preserve">  broker before writing a call on a dividend payer.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2E6DB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Income</w:t>
      </w:r>
      <w:r>
        <w:rPr/>
        <w:t xml:space="preserve"> · </w:t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