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2026-09-27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Four once-a-day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Each gates on the market calendar in its own script, so the timer only has to</w:t>
        <w:br/>
        <w:t>exclude weekends.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Trade Analyzer outcome labelling</w:t>
            </w:r>
          </w:p>
        </w:tc>
        <w:tc>
          <w:tcPr>
            <w:tcW w:type="dxa" w:w="2880"/>
            <w:shd w:val="clear" w:color="auto" w:fill="F4F6FA"/>
          </w:tcPr>
          <w:p>
            <w:r/>
            <w:r>
              <w:rPr>
                <w:b/>
              </w:rPr>
              <w:t>18:30</w:t>
            </w:r>
            <w:r>
              <w:rPr/>
              <w:t xml:space="preserve"> (</w:t>
            </w:r>
            <w:r>
              <w:rPr>
                <w:rFonts w:ascii="Consolas" w:hAnsi="Consolas"/>
                <w:color w:val="334455"/>
                <w:sz w:val="19"/>
              </w:rPr>
              <w:t>[slots.label_journal]</w:t>
            </w:r>
            <w:r>
              <w:rPr/>
              <w:t>)</w:t>
            </w:r>
          </w:p>
        </w:tc>
        <w:tc>
          <w:tcPr>
            <w:tcW w:type="dxa" w:w="2880"/>
            <w:shd w:val="clear" w:color="auto" w:fill="F4F6FA"/>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