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Sector map</w:t>
            </w:r>
          </w:p>
        </w:tc>
        <w:tc>
          <w:tcPr>
            <w:tcW w:type="dxa" w:w="4320"/>
            <w:shd w:val="clear" w:color="auto" w:fill="F4F6FA"/>
          </w:tcPr>
          <w:p>
            <w:r/>
            <w:r>
              <w:rPr/>
              <w:t>Which sector each symbol counts toward for the sector cap</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the position action</w:t>
        <w:br/>
        <w:t xml:space="preserve">  digest, the end-of-day summary, the Dealer Positioning briefings, the market</w:t>
        <w:br/>
        <w:t xml:space="preserve">  snapshot, the market state change and the hourly trade idea), with a</w:t>
        <w:br/>
        <w:t xml:space="preserve">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