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six services → webgui.</w:t>
      </w:r>
      <w:r>
        <w:rPr/>
        <w:br/>
        <w:t>Services wait on the proxy because they resolve market data through it (</w:t>
      </w:r>
      <w:r>
        <w:rPr>
          <w:rFonts w:ascii="Consolas" w:hAnsi="Consolas"/>
          <w:color w:val="334455"/>
          <w:sz w:val="19"/>
        </w:rPr>
        <w:t>news_svc</w:t>
      </w:r>
      <w:r>
        <w:rPr/>
        <w:br/>
        <w:t>calls no proxy — it reads public feeds — but is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and </w:t>
      </w:r>
      <w:r>
        <w:rPr>
          <w:rFonts w:ascii="Consolas" w:hAnsi="Consolas"/>
          <w:color w:val="334455"/>
          <w:sz w:val="19"/>
        </w:rPr>
        <w:t>:8216/health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9215 and 9216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six Tier-2 domain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the one service with no Schwab or Claude call, and the one</w:t>
        <w:br/>
        <w:t xml:space="preserve">that never calls the proxy. It reads one optional 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